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B74" w:rsidRPr="00B679AD" w:rsidRDefault="005A1B74" w:rsidP="002D1E7C">
      <w:pPr>
        <w:rPr>
          <w:rFonts w:asciiTheme="minorHAnsi" w:hAnsiTheme="minorHAnsi"/>
          <w:lang w:val="sr-Cyrl-RS"/>
        </w:rPr>
      </w:pPr>
    </w:p>
    <w:p w:rsidR="005A1B74" w:rsidRPr="00281D1F" w:rsidRDefault="005A1B74" w:rsidP="002D1E7C">
      <w:pPr>
        <w:rPr>
          <w:lang w:val="sr-Cyrl-BA"/>
        </w:rPr>
      </w:pPr>
    </w:p>
    <w:p w:rsidR="005A1B74" w:rsidRPr="00281D1F" w:rsidRDefault="005A1B74" w:rsidP="002D1E7C">
      <w:pPr>
        <w:jc w:val="center"/>
        <w:rPr>
          <w:rFonts w:asciiTheme="minorHAnsi" w:hAnsiTheme="minorHAnsi" w:cs="Calibri"/>
          <w:b/>
          <w:sz w:val="22"/>
          <w:szCs w:val="22"/>
          <w:lang w:val="sr-Cyrl-BA"/>
        </w:rPr>
      </w:pPr>
      <w:bookmarkStart w:id="0" w:name="_Toc143657419"/>
      <w:r w:rsidRPr="00281D1F">
        <w:rPr>
          <w:rFonts w:asciiTheme="minorHAnsi" w:hAnsiTheme="minorHAnsi" w:cs="Calibri"/>
          <w:b/>
          <w:noProof/>
          <w:sz w:val="22"/>
          <w:szCs w:val="22"/>
          <w:lang w:val="en-GB" w:eastAsia="en-GB"/>
        </w:rPr>
        <w:drawing>
          <wp:inline distT="0" distB="0" distL="0" distR="0" wp14:anchorId="2F98F0FA" wp14:editId="196167B6">
            <wp:extent cx="1266825" cy="1266825"/>
            <wp:effectExtent l="0" t="0" r="0" b="0"/>
            <wp:docPr id="1" name="Picture 1" descr="amblem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blemv[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pic:spPr>
                </pic:pic>
              </a:graphicData>
            </a:graphic>
          </wp:inline>
        </w:drawing>
      </w:r>
    </w:p>
    <w:p w:rsidR="005A1B74" w:rsidRPr="00281D1F" w:rsidRDefault="005A1B74" w:rsidP="002D1E7C">
      <w:pPr>
        <w:jc w:val="center"/>
        <w:rPr>
          <w:rFonts w:asciiTheme="minorHAnsi" w:hAnsiTheme="minorHAnsi" w:cs="Calibri"/>
          <w:b/>
          <w:sz w:val="22"/>
          <w:szCs w:val="22"/>
          <w:lang w:val="sr-Cyrl-BA"/>
        </w:rPr>
      </w:pPr>
    </w:p>
    <w:bookmarkEnd w:id="0"/>
    <w:p w:rsidR="005A1B74" w:rsidRPr="00281D1F" w:rsidRDefault="005A1B74" w:rsidP="002D1E7C">
      <w:pPr>
        <w:jc w:val="center"/>
        <w:rPr>
          <w:rFonts w:asciiTheme="minorHAnsi" w:hAnsiTheme="minorHAnsi" w:cs="Calibri"/>
          <w:b/>
          <w:lang w:val="sr-Cyrl-BA"/>
        </w:rPr>
      </w:pPr>
      <w:r w:rsidRPr="00281D1F">
        <w:rPr>
          <w:rFonts w:asciiTheme="minorHAnsi" w:hAnsiTheme="minorHAnsi" w:cs="Calibri"/>
          <w:b/>
          <w:lang w:val="sr-Cyrl-BA"/>
        </w:rPr>
        <w:t>REGULATORNA KOMISIJA</w:t>
      </w:r>
      <w:bookmarkStart w:id="1" w:name="_Toc143657420"/>
      <w:r w:rsidRPr="00281D1F">
        <w:rPr>
          <w:rFonts w:asciiTheme="minorHAnsi" w:hAnsiTheme="minorHAnsi" w:cs="Calibri"/>
          <w:b/>
          <w:lang w:val="sr-Cyrl-BA"/>
        </w:rPr>
        <w:t xml:space="preserve"> ZA ENERGETIKU</w:t>
      </w:r>
    </w:p>
    <w:p w:rsidR="005A1B74" w:rsidRPr="00281D1F" w:rsidRDefault="005A1B74" w:rsidP="002D1E7C">
      <w:pPr>
        <w:jc w:val="center"/>
        <w:rPr>
          <w:rFonts w:asciiTheme="minorHAnsi" w:hAnsiTheme="minorHAnsi" w:cs="Calibri"/>
          <w:b/>
          <w:lang w:val="sr-Cyrl-BA"/>
        </w:rPr>
      </w:pPr>
      <w:r w:rsidRPr="00281D1F">
        <w:rPr>
          <w:rFonts w:asciiTheme="minorHAnsi" w:hAnsiTheme="minorHAnsi" w:cs="Calibri"/>
          <w:b/>
          <w:lang w:val="sr-Cyrl-BA"/>
        </w:rPr>
        <w:t>REPUBLIKE SRPSKE</w:t>
      </w:r>
      <w:bookmarkEnd w:id="1"/>
    </w:p>
    <w:p w:rsidR="005A1B74" w:rsidRPr="00281D1F" w:rsidRDefault="005A1B74" w:rsidP="002D1E7C">
      <w:pPr>
        <w:rPr>
          <w:rFonts w:asciiTheme="minorHAnsi" w:hAnsiTheme="minorHAnsi" w:cs="Calibri"/>
          <w:sz w:val="22"/>
          <w:szCs w:val="22"/>
          <w:lang w:val="sr-Cyrl-BA"/>
        </w:rPr>
      </w:pPr>
    </w:p>
    <w:p w:rsidR="005A1B74" w:rsidRPr="00281D1F" w:rsidRDefault="005A1B74" w:rsidP="002D1E7C">
      <w:pPr>
        <w:rPr>
          <w:rFonts w:asciiTheme="minorHAnsi" w:hAnsiTheme="minorHAnsi" w:cs="Calibri"/>
          <w:sz w:val="22"/>
          <w:szCs w:val="22"/>
          <w:lang w:val="sr-Cyrl-BA"/>
        </w:rPr>
      </w:pPr>
    </w:p>
    <w:p w:rsidR="005A1B74" w:rsidRPr="00281D1F" w:rsidRDefault="005A1B74" w:rsidP="002D1E7C">
      <w:pPr>
        <w:rPr>
          <w:rFonts w:asciiTheme="minorHAnsi" w:hAnsiTheme="minorHAnsi" w:cs="Calibri"/>
          <w:sz w:val="22"/>
          <w:szCs w:val="22"/>
          <w:lang w:val="sr-Cyrl-BA"/>
        </w:rPr>
      </w:pPr>
    </w:p>
    <w:p w:rsidR="005A1B74" w:rsidRPr="00281D1F" w:rsidRDefault="005A1B74" w:rsidP="002D1E7C">
      <w:pPr>
        <w:rPr>
          <w:rFonts w:asciiTheme="minorHAnsi" w:hAnsiTheme="minorHAnsi" w:cs="Calibri"/>
          <w:sz w:val="22"/>
          <w:szCs w:val="22"/>
          <w:lang w:val="sr-Cyrl-BA"/>
        </w:rPr>
      </w:pPr>
    </w:p>
    <w:p w:rsidR="005A1B74" w:rsidRPr="002D1E7C" w:rsidRDefault="005A1B74" w:rsidP="002D1E7C">
      <w:pPr>
        <w:rPr>
          <w:rFonts w:asciiTheme="minorHAnsi" w:hAnsiTheme="minorHAnsi" w:cs="Calibri"/>
          <w:sz w:val="22"/>
          <w:szCs w:val="22"/>
          <w:lang w:val="bs-Latn-BA"/>
        </w:rPr>
      </w:pPr>
    </w:p>
    <w:p w:rsidR="005A1B74" w:rsidRPr="00281D1F" w:rsidRDefault="005A1B74" w:rsidP="002D1E7C">
      <w:pPr>
        <w:rPr>
          <w:rFonts w:asciiTheme="minorHAnsi" w:hAnsiTheme="minorHAnsi" w:cs="Calibri"/>
          <w:sz w:val="22"/>
          <w:szCs w:val="22"/>
          <w:lang w:val="sr-Cyrl-BA"/>
        </w:rPr>
      </w:pPr>
    </w:p>
    <w:p w:rsidR="005A1B74" w:rsidRPr="00281D1F" w:rsidRDefault="005A1B74" w:rsidP="002D1E7C">
      <w:pPr>
        <w:rPr>
          <w:rFonts w:asciiTheme="minorHAnsi" w:hAnsiTheme="minorHAnsi" w:cs="Calibri"/>
          <w:sz w:val="22"/>
          <w:szCs w:val="22"/>
          <w:lang w:val="sr-Cyrl-BA"/>
        </w:rPr>
      </w:pPr>
    </w:p>
    <w:p w:rsidR="005A1B74" w:rsidRPr="00281D1F" w:rsidRDefault="005A1B74" w:rsidP="002D1E7C">
      <w:pPr>
        <w:rPr>
          <w:rFonts w:asciiTheme="minorHAnsi" w:hAnsiTheme="minorHAnsi" w:cs="Calibri"/>
          <w:sz w:val="22"/>
          <w:szCs w:val="22"/>
          <w:lang w:val="sr-Cyrl-BA"/>
        </w:rPr>
      </w:pPr>
    </w:p>
    <w:p w:rsidR="005A1B74" w:rsidRPr="00281D1F" w:rsidRDefault="005A1B74" w:rsidP="002D1E7C">
      <w:pPr>
        <w:rPr>
          <w:rFonts w:asciiTheme="minorHAnsi" w:hAnsiTheme="minorHAnsi" w:cs="Calibri"/>
          <w:sz w:val="22"/>
          <w:szCs w:val="22"/>
          <w:lang w:val="sr-Cyrl-BA"/>
        </w:rPr>
      </w:pPr>
    </w:p>
    <w:p w:rsidR="005A1B74" w:rsidRPr="00281D1F" w:rsidRDefault="005A1B74" w:rsidP="002D1E7C">
      <w:pPr>
        <w:rPr>
          <w:rFonts w:asciiTheme="minorHAnsi" w:hAnsiTheme="minorHAnsi" w:cs="Calibri"/>
          <w:sz w:val="22"/>
          <w:szCs w:val="22"/>
          <w:lang w:val="sr-Cyrl-BA"/>
        </w:rPr>
      </w:pPr>
    </w:p>
    <w:p w:rsidR="005A1B74" w:rsidRPr="00281D1F" w:rsidRDefault="005A1B74" w:rsidP="002D1E7C">
      <w:pPr>
        <w:rPr>
          <w:rFonts w:asciiTheme="minorHAnsi" w:hAnsiTheme="minorHAnsi" w:cs="Calibri"/>
          <w:sz w:val="22"/>
          <w:szCs w:val="22"/>
          <w:lang w:val="sr-Cyrl-BA"/>
        </w:rPr>
      </w:pPr>
    </w:p>
    <w:p w:rsidR="005A1B74" w:rsidRPr="00281D1F" w:rsidRDefault="005A1B74" w:rsidP="002D1E7C">
      <w:pPr>
        <w:rPr>
          <w:rFonts w:asciiTheme="minorHAnsi" w:hAnsiTheme="minorHAnsi" w:cs="Calibri"/>
          <w:sz w:val="22"/>
          <w:szCs w:val="22"/>
          <w:lang w:val="sr-Cyrl-BA"/>
        </w:rPr>
      </w:pPr>
    </w:p>
    <w:p w:rsidR="005A1B74" w:rsidRPr="00281D1F" w:rsidRDefault="005A1B74" w:rsidP="002D1E7C">
      <w:pPr>
        <w:jc w:val="center"/>
        <w:rPr>
          <w:rFonts w:asciiTheme="minorHAnsi" w:hAnsiTheme="minorHAnsi" w:cs="Calibri"/>
          <w:sz w:val="22"/>
          <w:szCs w:val="22"/>
          <w:lang w:val="sr-Cyrl-BA"/>
        </w:rPr>
      </w:pPr>
    </w:p>
    <w:p w:rsidR="005A1B74" w:rsidRPr="00281D1F" w:rsidRDefault="005A1B74" w:rsidP="002D1E7C">
      <w:pPr>
        <w:jc w:val="center"/>
        <w:rPr>
          <w:rFonts w:asciiTheme="minorHAnsi" w:hAnsiTheme="minorHAnsi" w:cs="Calibri"/>
          <w:b/>
          <w:i/>
          <w:sz w:val="40"/>
          <w:szCs w:val="40"/>
          <w:lang w:val="sr-Cyrl-BA"/>
        </w:rPr>
      </w:pPr>
      <w:bookmarkStart w:id="2" w:name="_Toc143657421"/>
      <w:r w:rsidRPr="00281D1F">
        <w:rPr>
          <w:rFonts w:asciiTheme="minorHAnsi" w:hAnsiTheme="minorHAnsi" w:cs="Calibri"/>
          <w:b/>
          <w:i/>
          <w:sz w:val="40"/>
          <w:szCs w:val="40"/>
          <w:lang w:val="sr-Cyrl-BA"/>
        </w:rPr>
        <w:t>IZVJEŠTAJ O RADU</w:t>
      </w:r>
      <w:bookmarkEnd w:id="2"/>
    </w:p>
    <w:p w:rsidR="005A1B74" w:rsidRDefault="005A1B74" w:rsidP="002D1E7C">
      <w:pPr>
        <w:jc w:val="center"/>
      </w:pPr>
      <w:bookmarkStart w:id="3" w:name="_Toc143657422"/>
      <w:r w:rsidRPr="00281D1F">
        <w:rPr>
          <w:rFonts w:asciiTheme="minorHAnsi" w:hAnsiTheme="minorHAnsi" w:cs="Calibri"/>
          <w:b/>
          <w:i/>
          <w:sz w:val="40"/>
          <w:szCs w:val="40"/>
          <w:lang w:val="sr-Cyrl-BA"/>
        </w:rPr>
        <w:t>ZA 202</w:t>
      </w:r>
      <w:r>
        <w:rPr>
          <w:rFonts w:asciiTheme="minorHAnsi" w:hAnsiTheme="minorHAnsi" w:cs="Calibri"/>
          <w:b/>
          <w:i/>
          <w:sz w:val="40"/>
          <w:szCs w:val="40"/>
          <w:lang w:val="sr-Latn-BA"/>
        </w:rPr>
        <w:t>4</w:t>
      </w:r>
      <w:r w:rsidRPr="00281D1F">
        <w:rPr>
          <w:rFonts w:asciiTheme="minorHAnsi" w:hAnsiTheme="minorHAnsi" w:cs="Calibri"/>
          <w:b/>
          <w:i/>
          <w:sz w:val="40"/>
          <w:szCs w:val="40"/>
          <w:lang w:val="sr-Cyrl-BA"/>
        </w:rPr>
        <w:t>. GODINU</w:t>
      </w:r>
      <w:bookmarkEnd w:id="3"/>
    </w:p>
    <w:p w:rsidR="005A1B74" w:rsidRPr="00281D1F" w:rsidRDefault="005A1B74" w:rsidP="002D1E7C">
      <w:pPr>
        <w:jc w:val="center"/>
        <w:rPr>
          <w:rFonts w:asciiTheme="minorHAnsi" w:hAnsiTheme="minorHAnsi" w:cs="Calibri"/>
          <w:sz w:val="22"/>
          <w:szCs w:val="22"/>
          <w:lang w:val="sr-Cyrl-BA"/>
        </w:rPr>
      </w:pPr>
    </w:p>
    <w:p w:rsidR="005A1B74" w:rsidRPr="00281D1F" w:rsidRDefault="005A1B74" w:rsidP="002D1E7C">
      <w:pPr>
        <w:rPr>
          <w:rFonts w:asciiTheme="minorHAnsi" w:hAnsiTheme="minorHAnsi" w:cs="Calibri"/>
          <w:sz w:val="22"/>
          <w:szCs w:val="22"/>
          <w:lang w:val="sr-Cyrl-BA"/>
        </w:rPr>
      </w:pPr>
    </w:p>
    <w:p w:rsidR="005A1B74" w:rsidRPr="00281D1F" w:rsidRDefault="005A1B74" w:rsidP="002D1E7C">
      <w:pPr>
        <w:rPr>
          <w:rFonts w:asciiTheme="minorHAnsi" w:hAnsiTheme="minorHAnsi" w:cs="Calibri"/>
          <w:sz w:val="22"/>
          <w:szCs w:val="22"/>
          <w:lang w:val="sr-Cyrl-BA"/>
        </w:rPr>
      </w:pPr>
    </w:p>
    <w:p w:rsidR="005A1B74" w:rsidRPr="00281D1F" w:rsidRDefault="005A1B74" w:rsidP="002D1E7C">
      <w:pPr>
        <w:rPr>
          <w:rFonts w:asciiTheme="minorHAnsi" w:hAnsiTheme="minorHAnsi" w:cs="Calibri"/>
          <w:sz w:val="22"/>
          <w:szCs w:val="22"/>
          <w:lang w:val="sr-Cyrl-BA"/>
        </w:rPr>
      </w:pPr>
    </w:p>
    <w:p w:rsidR="005A1B74" w:rsidRPr="00281D1F" w:rsidRDefault="005A1B74" w:rsidP="002D1E7C">
      <w:pPr>
        <w:rPr>
          <w:rFonts w:asciiTheme="minorHAnsi" w:hAnsiTheme="minorHAnsi" w:cs="Calibri"/>
          <w:sz w:val="22"/>
          <w:szCs w:val="22"/>
          <w:lang w:val="sr-Cyrl-BA"/>
        </w:rPr>
      </w:pPr>
    </w:p>
    <w:p w:rsidR="005A1B74" w:rsidRPr="00281D1F" w:rsidRDefault="005A1B74" w:rsidP="002D1E7C">
      <w:pPr>
        <w:rPr>
          <w:rFonts w:asciiTheme="minorHAnsi" w:hAnsiTheme="minorHAnsi" w:cs="Calibri"/>
          <w:sz w:val="22"/>
          <w:szCs w:val="22"/>
          <w:lang w:val="sr-Cyrl-BA"/>
        </w:rPr>
      </w:pPr>
    </w:p>
    <w:p w:rsidR="005A1B74" w:rsidRPr="00281D1F" w:rsidRDefault="005A1B74" w:rsidP="002D1E7C">
      <w:pPr>
        <w:rPr>
          <w:rFonts w:asciiTheme="minorHAnsi" w:hAnsiTheme="minorHAnsi" w:cs="Calibri"/>
          <w:sz w:val="22"/>
          <w:szCs w:val="22"/>
          <w:lang w:val="sr-Cyrl-BA"/>
        </w:rPr>
      </w:pPr>
    </w:p>
    <w:p w:rsidR="005A1B74" w:rsidRPr="00281D1F" w:rsidRDefault="005A1B74" w:rsidP="002D1E7C">
      <w:pPr>
        <w:rPr>
          <w:rFonts w:asciiTheme="minorHAnsi" w:hAnsiTheme="minorHAnsi" w:cs="Calibri"/>
          <w:sz w:val="22"/>
          <w:szCs w:val="22"/>
          <w:lang w:val="sr-Cyrl-BA"/>
        </w:rPr>
      </w:pPr>
    </w:p>
    <w:p w:rsidR="005A1B74" w:rsidRPr="00281D1F" w:rsidRDefault="005A1B74" w:rsidP="002D1E7C">
      <w:pPr>
        <w:rPr>
          <w:rFonts w:asciiTheme="minorHAnsi" w:hAnsiTheme="minorHAnsi" w:cs="Calibri"/>
          <w:sz w:val="22"/>
          <w:szCs w:val="22"/>
          <w:lang w:val="sr-Cyrl-BA"/>
        </w:rPr>
      </w:pPr>
    </w:p>
    <w:p w:rsidR="005A1B74" w:rsidRPr="00281D1F" w:rsidRDefault="005A1B74" w:rsidP="002D1E7C">
      <w:pPr>
        <w:rPr>
          <w:rFonts w:asciiTheme="minorHAnsi" w:hAnsiTheme="minorHAnsi" w:cs="Calibri"/>
          <w:sz w:val="22"/>
          <w:szCs w:val="22"/>
          <w:lang w:val="sr-Cyrl-BA"/>
        </w:rPr>
      </w:pPr>
    </w:p>
    <w:p w:rsidR="005A1B74" w:rsidRPr="00281D1F" w:rsidRDefault="005A1B74" w:rsidP="002D1E7C">
      <w:pPr>
        <w:rPr>
          <w:rFonts w:asciiTheme="minorHAnsi" w:hAnsiTheme="minorHAnsi" w:cs="Calibri"/>
          <w:sz w:val="22"/>
          <w:szCs w:val="22"/>
          <w:lang w:val="sr-Cyrl-BA"/>
        </w:rPr>
      </w:pPr>
    </w:p>
    <w:p w:rsidR="005A1B74" w:rsidRPr="00281D1F" w:rsidRDefault="005A1B74" w:rsidP="002D1E7C">
      <w:pPr>
        <w:rPr>
          <w:rFonts w:asciiTheme="minorHAnsi" w:hAnsiTheme="minorHAnsi" w:cs="Calibri"/>
          <w:sz w:val="22"/>
          <w:szCs w:val="22"/>
          <w:lang w:val="sr-Cyrl-BA"/>
        </w:rPr>
      </w:pPr>
    </w:p>
    <w:p w:rsidR="005A1B74" w:rsidRPr="00281D1F" w:rsidRDefault="005A1B74" w:rsidP="002D1E7C">
      <w:pPr>
        <w:rPr>
          <w:rFonts w:asciiTheme="minorHAnsi" w:hAnsiTheme="minorHAnsi" w:cs="Calibri"/>
          <w:sz w:val="22"/>
          <w:szCs w:val="22"/>
          <w:lang w:val="sr-Cyrl-BA"/>
        </w:rPr>
      </w:pPr>
    </w:p>
    <w:p w:rsidR="005A1B74" w:rsidRPr="00281D1F" w:rsidRDefault="005A1B74" w:rsidP="002D1E7C">
      <w:pPr>
        <w:rPr>
          <w:rFonts w:asciiTheme="minorHAnsi" w:hAnsiTheme="minorHAnsi" w:cs="Calibri"/>
          <w:sz w:val="22"/>
          <w:szCs w:val="22"/>
          <w:lang w:val="sr-Cyrl-BA"/>
        </w:rPr>
      </w:pPr>
    </w:p>
    <w:p w:rsidR="005A1B74" w:rsidRPr="00281D1F" w:rsidRDefault="005A1B74" w:rsidP="002D1E7C">
      <w:pPr>
        <w:rPr>
          <w:rFonts w:asciiTheme="minorHAnsi" w:hAnsiTheme="minorHAnsi" w:cs="Calibri"/>
          <w:sz w:val="22"/>
          <w:szCs w:val="22"/>
          <w:lang w:val="sr-Cyrl-BA"/>
        </w:rPr>
      </w:pPr>
    </w:p>
    <w:p w:rsidR="005A1B74" w:rsidRPr="00281D1F" w:rsidRDefault="005A1B74" w:rsidP="002D1E7C">
      <w:pPr>
        <w:rPr>
          <w:rFonts w:asciiTheme="minorHAnsi" w:hAnsiTheme="minorHAnsi" w:cs="Calibri"/>
          <w:sz w:val="22"/>
          <w:szCs w:val="22"/>
          <w:lang w:val="sr-Cyrl-BA"/>
        </w:rPr>
      </w:pPr>
    </w:p>
    <w:p w:rsidR="005A1B74" w:rsidRPr="00281D1F" w:rsidRDefault="005A1B74" w:rsidP="002D1E7C">
      <w:pPr>
        <w:rPr>
          <w:rFonts w:asciiTheme="minorHAnsi" w:hAnsiTheme="minorHAnsi" w:cs="Calibri"/>
          <w:sz w:val="22"/>
          <w:szCs w:val="22"/>
          <w:lang w:val="sr-Cyrl-BA"/>
        </w:rPr>
      </w:pPr>
    </w:p>
    <w:p w:rsidR="005A1B74" w:rsidRPr="00281D1F" w:rsidRDefault="005A1B74" w:rsidP="002D1E7C">
      <w:pPr>
        <w:rPr>
          <w:rFonts w:asciiTheme="minorHAnsi" w:hAnsiTheme="minorHAnsi" w:cs="Calibri"/>
          <w:sz w:val="22"/>
          <w:szCs w:val="22"/>
          <w:lang w:val="sr-Cyrl-BA"/>
        </w:rPr>
      </w:pPr>
    </w:p>
    <w:p w:rsidR="005A1B74" w:rsidRPr="00281D1F" w:rsidRDefault="005A1B74" w:rsidP="002D1E7C">
      <w:pPr>
        <w:rPr>
          <w:rFonts w:asciiTheme="minorHAnsi" w:hAnsiTheme="minorHAnsi" w:cs="Calibri"/>
          <w:sz w:val="22"/>
          <w:szCs w:val="22"/>
          <w:lang w:val="sr-Cyrl-BA"/>
        </w:rPr>
      </w:pPr>
    </w:p>
    <w:p w:rsidR="005A1B74" w:rsidRPr="00281D1F" w:rsidRDefault="005A1B74" w:rsidP="002D1E7C">
      <w:pPr>
        <w:rPr>
          <w:rFonts w:asciiTheme="minorHAnsi" w:hAnsiTheme="minorHAnsi" w:cs="Calibri"/>
          <w:sz w:val="22"/>
          <w:szCs w:val="22"/>
          <w:lang w:val="sr-Cyrl-BA"/>
        </w:rPr>
      </w:pPr>
    </w:p>
    <w:p w:rsidR="005A1B74" w:rsidRPr="00281D1F" w:rsidRDefault="005A1B74" w:rsidP="002D1E7C">
      <w:pPr>
        <w:jc w:val="center"/>
        <w:rPr>
          <w:rFonts w:asciiTheme="minorHAnsi" w:hAnsiTheme="minorHAnsi" w:cs="Calibri"/>
          <w:b/>
          <w:i/>
          <w:sz w:val="22"/>
          <w:szCs w:val="22"/>
          <w:lang w:val="sr-Cyrl-BA"/>
        </w:rPr>
      </w:pPr>
      <w:bookmarkStart w:id="4" w:name="_Toc143657423"/>
      <w:r w:rsidRPr="00281D1F">
        <w:rPr>
          <w:rFonts w:asciiTheme="minorHAnsi" w:hAnsiTheme="minorHAnsi" w:cs="Calibri"/>
          <w:b/>
          <w:i/>
          <w:sz w:val="22"/>
          <w:szCs w:val="22"/>
          <w:lang w:val="sr-Cyrl-BA"/>
        </w:rPr>
        <w:t xml:space="preserve">Trebinje, </w:t>
      </w:r>
      <w:r>
        <w:rPr>
          <w:rFonts w:asciiTheme="minorHAnsi" w:hAnsiTheme="minorHAnsi" w:cs="Calibri"/>
          <w:b/>
          <w:i/>
          <w:sz w:val="22"/>
          <w:szCs w:val="22"/>
          <w:lang w:val="sr-Cyrl-BA"/>
        </w:rPr>
        <w:t>septembar</w:t>
      </w:r>
      <w:r w:rsidRPr="00281D1F">
        <w:rPr>
          <w:rFonts w:asciiTheme="minorHAnsi" w:hAnsiTheme="minorHAnsi" w:cs="Calibri"/>
          <w:b/>
          <w:i/>
          <w:sz w:val="22"/>
          <w:szCs w:val="22"/>
          <w:lang w:val="sr-Cyrl-BA"/>
        </w:rPr>
        <w:t xml:space="preserve"> 202</w:t>
      </w:r>
      <w:r>
        <w:rPr>
          <w:rFonts w:asciiTheme="minorHAnsi" w:hAnsiTheme="minorHAnsi" w:cs="Calibri"/>
          <w:b/>
          <w:i/>
          <w:sz w:val="22"/>
          <w:szCs w:val="22"/>
          <w:lang w:val="sr-Latn-BA"/>
        </w:rPr>
        <w:t>5</w:t>
      </w:r>
      <w:r w:rsidRPr="00281D1F">
        <w:rPr>
          <w:rFonts w:asciiTheme="minorHAnsi" w:hAnsiTheme="minorHAnsi" w:cs="Calibri"/>
          <w:b/>
          <w:i/>
          <w:sz w:val="22"/>
          <w:szCs w:val="22"/>
          <w:lang w:val="sr-Cyrl-BA"/>
        </w:rPr>
        <w:t>. godine</w:t>
      </w:r>
      <w:bookmarkEnd w:id="4"/>
    </w:p>
    <w:p w:rsidR="005A1B74" w:rsidRPr="00281D1F" w:rsidRDefault="005A1B74" w:rsidP="002D1E7C">
      <w:pPr>
        <w:jc w:val="center"/>
        <w:rPr>
          <w:rFonts w:asciiTheme="minorHAnsi" w:hAnsiTheme="minorHAnsi" w:cs="Calibri"/>
          <w:b/>
          <w:i/>
          <w:sz w:val="22"/>
          <w:szCs w:val="22"/>
          <w:lang w:val="sr-Cyrl-BA"/>
        </w:rPr>
      </w:pPr>
    </w:p>
    <w:p w:rsidR="005A1B74" w:rsidRPr="00281D1F" w:rsidRDefault="005A1B74" w:rsidP="002D1E7C">
      <w:pPr>
        <w:ind w:right="-459"/>
        <w:jc w:val="both"/>
        <w:rPr>
          <w:rFonts w:asciiTheme="minorHAnsi" w:hAnsiTheme="minorHAnsi" w:cs="Calibri"/>
          <w:sz w:val="22"/>
          <w:szCs w:val="22"/>
          <w:lang w:val="sr-Cyrl-BA"/>
        </w:rPr>
      </w:pPr>
    </w:p>
    <w:p w:rsidR="005A1B74" w:rsidRDefault="005A1B74">
      <w:bookmarkStart w:id="5" w:name="_Toc293411070"/>
      <w:bookmarkStart w:id="6" w:name="_Toc293414758"/>
      <w:bookmarkStart w:id="7" w:name="_Toc293563708"/>
      <w:r w:rsidRPr="00281D1F">
        <w:rPr>
          <w:rFonts w:asciiTheme="minorHAnsi" w:hAnsiTheme="minorHAnsi" w:cs="Calibri"/>
          <w:b/>
          <w:bCs/>
          <w:noProof/>
          <w:lang w:val="sr-Cyrl-BA"/>
        </w:rPr>
        <w:t>SADRŽAJ</w:t>
      </w:r>
    </w:p>
    <w:p w:rsidR="005A1B74" w:rsidRPr="00281D1F" w:rsidRDefault="005A1B74" w:rsidP="002D1E7C">
      <w:pPr>
        <w:rPr>
          <w:rFonts w:asciiTheme="minorHAnsi" w:hAnsiTheme="minorHAnsi"/>
          <w:lang w:val="sr-Cyrl-BA"/>
        </w:rPr>
      </w:pPr>
    </w:p>
    <w:p w:rsidR="002D1E7C" w:rsidRPr="002D1E7C" w:rsidRDefault="005A1B74">
      <w:pPr>
        <w:pStyle w:val="TOC1"/>
        <w:rPr>
          <w:rFonts w:asciiTheme="minorHAnsi" w:eastAsiaTheme="minorEastAsia" w:hAnsiTheme="minorHAnsi" w:cstheme="minorHAnsi"/>
          <w:b w:val="0"/>
          <w:bCs w:val="0"/>
          <w:caps w:val="0"/>
          <w:noProof/>
          <w:sz w:val="22"/>
          <w:szCs w:val="22"/>
        </w:rPr>
      </w:pPr>
      <w:r w:rsidRPr="002D1E7C">
        <w:rPr>
          <w:rFonts w:asciiTheme="minorHAnsi" w:hAnsiTheme="minorHAnsi" w:cstheme="minorHAnsi"/>
          <w:sz w:val="22"/>
          <w:szCs w:val="22"/>
          <w:lang w:val="sr-Cyrl-BA"/>
        </w:rPr>
        <w:fldChar w:fldCharType="begin"/>
      </w:r>
      <w:r w:rsidRPr="002D1E7C">
        <w:rPr>
          <w:rFonts w:asciiTheme="minorHAnsi" w:hAnsiTheme="minorHAnsi" w:cstheme="minorHAnsi"/>
          <w:sz w:val="22"/>
          <w:szCs w:val="22"/>
          <w:lang w:val="sr-Cyrl-BA"/>
        </w:rPr>
        <w:instrText xml:space="preserve"> TOC \o "1-3" \h \z \u </w:instrText>
      </w:r>
      <w:r w:rsidRPr="002D1E7C">
        <w:rPr>
          <w:rFonts w:asciiTheme="minorHAnsi" w:hAnsiTheme="minorHAnsi" w:cstheme="minorHAnsi"/>
          <w:sz w:val="22"/>
          <w:szCs w:val="22"/>
          <w:lang w:val="sr-Cyrl-BA"/>
        </w:rPr>
        <w:fldChar w:fldCharType="separate"/>
      </w:r>
      <w:hyperlink w:anchor="_Toc210301146" w:history="1">
        <w:r w:rsidR="002D1E7C" w:rsidRPr="002D1E7C">
          <w:rPr>
            <w:rStyle w:val="Hyperlink"/>
            <w:rFonts w:asciiTheme="minorHAnsi" w:hAnsiTheme="minorHAnsi" w:cstheme="minorHAnsi"/>
            <w:noProof/>
            <w:sz w:val="22"/>
            <w:szCs w:val="22"/>
            <w:lang w:val="sr-Cyrl-BA"/>
          </w:rPr>
          <w:t>1.</w:t>
        </w:r>
        <w:r w:rsidR="002D1E7C" w:rsidRPr="002D1E7C">
          <w:rPr>
            <w:rFonts w:asciiTheme="minorHAnsi" w:eastAsiaTheme="minorEastAsia" w:hAnsiTheme="minorHAnsi" w:cstheme="minorHAnsi"/>
            <w:b w:val="0"/>
            <w:bCs w:val="0"/>
            <w:caps w:val="0"/>
            <w:noProof/>
            <w:sz w:val="22"/>
            <w:szCs w:val="22"/>
          </w:rPr>
          <w:tab/>
        </w:r>
        <w:r w:rsidR="002D1E7C" w:rsidRPr="002D1E7C">
          <w:rPr>
            <w:rStyle w:val="Hyperlink"/>
            <w:rFonts w:asciiTheme="minorHAnsi" w:hAnsiTheme="minorHAnsi" w:cstheme="minorHAnsi"/>
            <w:noProof/>
            <w:sz w:val="22"/>
            <w:szCs w:val="22"/>
            <w:lang w:val="sr-Cyrl-BA"/>
          </w:rPr>
          <w:t>Pravni osnov za regulaciju energetskog sektora i nadležnosti Regulatorne komisije</w:t>
        </w:r>
        <w:r w:rsidR="002D1E7C" w:rsidRPr="002D1E7C">
          <w:rPr>
            <w:rFonts w:asciiTheme="minorHAnsi" w:hAnsiTheme="minorHAnsi" w:cstheme="minorHAnsi"/>
            <w:noProof/>
            <w:webHidden/>
            <w:sz w:val="22"/>
            <w:szCs w:val="22"/>
          </w:rPr>
          <w:tab/>
        </w:r>
        <w:r w:rsidR="002D1E7C" w:rsidRPr="002D1E7C">
          <w:rPr>
            <w:rFonts w:asciiTheme="minorHAnsi" w:hAnsiTheme="minorHAnsi" w:cstheme="minorHAnsi"/>
            <w:noProof/>
            <w:webHidden/>
            <w:sz w:val="22"/>
            <w:szCs w:val="22"/>
          </w:rPr>
          <w:fldChar w:fldCharType="begin"/>
        </w:r>
        <w:r w:rsidR="002D1E7C" w:rsidRPr="002D1E7C">
          <w:rPr>
            <w:rFonts w:asciiTheme="minorHAnsi" w:hAnsiTheme="minorHAnsi" w:cstheme="minorHAnsi"/>
            <w:noProof/>
            <w:webHidden/>
            <w:sz w:val="22"/>
            <w:szCs w:val="22"/>
          </w:rPr>
          <w:instrText xml:space="preserve"> PAGEREF _Toc210301146 \h </w:instrText>
        </w:r>
        <w:r w:rsidR="002D1E7C" w:rsidRPr="002D1E7C">
          <w:rPr>
            <w:rFonts w:asciiTheme="minorHAnsi" w:hAnsiTheme="minorHAnsi" w:cstheme="minorHAnsi"/>
            <w:noProof/>
            <w:webHidden/>
            <w:sz w:val="22"/>
            <w:szCs w:val="22"/>
          </w:rPr>
        </w:r>
        <w:r w:rsidR="002D1E7C" w:rsidRPr="002D1E7C">
          <w:rPr>
            <w:rFonts w:asciiTheme="minorHAnsi" w:hAnsiTheme="minorHAnsi" w:cstheme="minorHAnsi"/>
            <w:noProof/>
            <w:webHidden/>
            <w:sz w:val="22"/>
            <w:szCs w:val="22"/>
          </w:rPr>
          <w:fldChar w:fldCharType="separate"/>
        </w:r>
        <w:r w:rsidR="002D1E7C">
          <w:rPr>
            <w:rFonts w:asciiTheme="minorHAnsi" w:hAnsiTheme="minorHAnsi" w:cstheme="minorHAnsi"/>
            <w:noProof/>
            <w:webHidden/>
            <w:sz w:val="22"/>
            <w:szCs w:val="22"/>
          </w:rPr>
          <w:t>7</w:t>
        </w:r>
        <w:r w:rsidR="002D1E7C" w:rsidRPr="002D1E7C">
          <w:rPr>
            <w:rFonts w:asciiTheme="minorHAnsi" w:hAnsiTheme="minorHAnsi" w:cstheme="minorHAnsi"/>
            <w:noProof/>
            <w:webHidden/>
            <w:sz w:val="22"/>
            <w:szCs w:val="22"/>
          </w:rPr>
          <w:fldChar w:fldCharType="end"/>
        </w:r>
      </w:hyperlink>
    </w:p>
    <w:p w:rsidR="002D1E7C" w:rsidRPr="002D1E7C" w:rsidRDefault="00DB6919">
      <w:pPr>
        <w:pStyle w:val="TOC1"/>
        <w:rPr>
          <w:rFonts w:asciiTheme="minorHAnsi" w:eastAsiaTheme="minorEastAsia" w:hAnsiTheme="minorHAnsi" w:cstheme="minorHAnsi"/>
          <w:b w:val="0"/>
          <w:bCs w:val="0"/>
          <w:caps w:val="0"/>
          <w:noProof/>
          <w:sz w:val="22"/>
          <w:szCs w:val="22"/>
        </w:rPr>
      </w:pPr>
      <w:hyperlink w:anchor="_Toc210301147" w:history="1">
        <w:r w:rsidR="002D1E7C" w:rsidRPr="002D1E7C">
          <w:rPr>
            <w:rStyle w:val="Hyperlink"/>
            <w:rFonts w:asciiTheme="minorHAnsi" w:hAnsiTheme="minorHAnsi" w:cstheme="minorHAnsi"/>
            <w:noProof/>
            <w:sz w:val="22"/>
            <w:szCs w:val="22"/>
            <w:lang w:val="sr-Cyrl-BA"/>
          </w:rPr>
          <w:t>2.</w:t>
        </w:r>
        <w:r w:rsidR="002D1E7C" w:rsidRPr="002D1E7C">
          <w:rPr>
            <w:rFonts w:asciiTheme="minorHAnsi" w:eastAsiaTheme="minorEastAsia" w:hAnsiTheme="minorHAnsi" w:cstheme="minorHAnsi"/>
            <w:b w:val="0"/>
            <w:bCs w:val="0"/>
            <w:caps w:val="0"/>
            <w:noProof/>
            <w:sz w:val="22"/>
            <w:szCs w:val="22"/>
          </w:rPr>
          <w:tab/>
        </w:r>
        <w:r w:rsidR="002D1E7C" w:rsidRPr="002D1E7C">
          <w:rPr>
            <w:rStyle w:val="Hyperlink"/>
            <w:rFonts w:asciiTheme="minorHAnsi" w:hAnsiTheme="minorHAnsi" w:cstheme="minorHAnsi"/>
            <w:noProof/>
            <w:sz w:val="22"/>
            <w:szCs w:val="22"/>
            <w:lang w:val="sr-Cyrl-BA"/>
          </w:rPr>
          <w:t>Ključne aktivnosti Regulatorne komisije</w:t>
        </w:r>
        <w:r w:rsidR="002D1E7C" w:rsidRPr="002D1E7C">
          <w:rPr>
            <w:rFonts w:asciiTheme="minorHAnsi" w:hAnsiTheme="minorHAnsi" w:cstheme="minorHAnsi"/>
            <w:noProof/>
            <w:webHidden/>
            <w:sz w:val="22"/>
            <w:szCs w:val="22"/>
          </w:rPr>
          <w:tab/>
        </w:r>
        <w:r w:rsidR="002D1E7C" w:rsidRPr="002D1E7C">
          <w:rPr>
            <w:rFonts w:asciiTheme="minorHAnsi" w:hAnsiTheme="minorHAnsi" w:cstheme="minorHAnsi"/>
            <w:noProof/>
            <w:webHidden/>
            <w:sz w:val="22"/>
            <w:szCs w:val="22"/>
          </w:rPr>
          <w:fldChar w:fldCharType="begin"/>
        </w:r>
        <w:r w:rsidR="002D1E7C" w:rsidRPr="002D1E7C">
          <w:rPr>
            <w:rFonts w:asciiTheme="minorHAnsi" w:hAnsiTheme="minorHAnsi" w:cstheme="minorHAnsi"/>
            <w:noProof/>
            <w:webHidden/>
            <w:sz w:val="22"/>
            <w:szCs w:val="22"/>
          </w:rPr>
          <w:instrText xml:space="preserve"> PAGEREF _Toc210301147 \h </w:instrText>
        </w:r>
        <w:r w:rsidR="002D1E7C" w:rsidRPr="002D1E7C">
          <w:rPr>
            <w:rFonts w:asciiTheme="minorHAnsi" w:hAnsiTheme="minorHAnsi" w:cstheme="minorHAnsi"/>
            <w:noProof/>
            <w:webHidden/>
            <w:sz w:val="22"/>
            <w:szCs w:val="22"/>
          </w:rPr>
        </w:r>
        <w:r w:rsidR="002D1E7C" w:rsidRPr="002D1E7C">
          <w:rPr>
            <w:rFonts w:asciiTheme="minorHAnsi" w:hAnsiTheme="minorHAnsi" w:cstheme="minorHAnsi"/>
            <w:noProof/>
            <w:webHidden/>
            <w:sz w:val="22"/>
            <w:szCs w:val="22"/>
          </w:rPr>
          <w:fldChar w:fldCharType="separate"/>
        </w:r>
        <w:r w:rsidR="002D1E7C">
          <w:rPr>
            <w:rFonts w:asciiTheme="minorHAnsi" w:hAnsiTheme="minorHAnsi" w:cstheme="minorHAnsi"/>
            <w:noProof/>
            <w:webHidden/>
            <w:sz w:val="22"/>
            <w:szCs w:val="22"/>
          </w:rPr>
          <w:t>11</w:t>
        </w:r>
        <w:r w:rsidR="002D1E7C" w:rsidRPr="002D1E7C">
          <w:rPr>
            <w:rFonts w:asciiTheme="minorHAnsi" w:hAnsiTheme="minorHAnsi" w:cstheme="minorHAnsi"/>
            <w:noProof/>
            <w:webHidden/>
            <w:sz w:val="22"/>
            <w:szCs w:val="22"/>
          </w:rPr>
          <w:fldChar w:fldCharType="end"/>
        </w:r>
      </w:hyperlink>
    </w:p>
    <w:p w:rsidR="002D1E7C" w:rsidRPr="002D1E7C" w:rsidRDefault="00DB6919">
      <w:pPr>
        <w:pStyle w:val="TOC2"/>
        <w:tabs>
          <w:tab w:val="left" w:pos="851"/>
          <w:tab w:val="right" w:leader="dot" w:pos="9062"/>
        </w:tabs>
        <w:rPr>
          <w:rFonts w:asciiTheme="minorHAnsi" w:eastAsiaTheme="minorEastAsia" w:hAnsiTheme="minorHAnsi" w:cstheme="minorHAnsi"/>
          <w:smallCaps w:val="0"/>
          <w:noProof/>
          <w:sz w:val="22"/>
          <w:szCs w:val="22"/>
        </w:rPr>
      </w:pPr>
      <w:hyperlink w:anchor="_Toc210301148" w:history="1">
        <w:r w:rsidR="002D1E7C" w:rsidRPr="002D1E7C">
          <w:rPr>
            <w:rStyle w:val="Hyperlink"/>
            <w:rFonts w:asciiTheme="minorHAnsi" w:hAnsiTheme="minorHAnsi" w:cstheme="minorHAnsi"/>
            <w:noProof/>
            <w:sz w:val="22"/>
            <w:szCs w:val="22"/>
            <w:lang w:val="sr-Cyrl-BA"/>
          </w:rPr>
          <w:t>2.1.</w:t>
        </w:r>
        <w:r w:rsidR="002D1E7C" w:rsidRPr="002D1E7C">
          <w:rPr>
            <w:rFonts w:asciiTheme="minorHAnsi" w:eastAsiaTheme="minorEastAsia" w:hAnsiTheme="minorHAnsi" w:cstheme="minorHAnsi"/>
            <w:smallCaps w:val="0"/>
            <w:noProof/>
            <w:sz w:val="22"/>
            <w:szCs w:val="22"/>
          </w:rPr>
          <w:tab/>
        </w:r>
        <w:r w:rsidR="002D1E7C" w:rsidRPr="002D1E7C">
          <w:rPr>
            <w:rStyle w:val="Hyperlink"/>
            <w:rFonts w:asciiTheme="minorHAnsi" w:hAnsiTheme="minorHAnsi" w:cstheme="minorHAnsi"/>
            <w:noProof/>
            <w:sz w:val="22"/>
            <w:szCs w:val="22"/>
            <w:lang w:val="sr-Cyrl-BA"/>
          </w:rPr>
          <w:t>Sjednice, sastanci i javne rasprave</w:t>
        </w:r>
        <w:r w:rsidR="002D1E7C" w:rsidRPr="002D1E7C">
          <w:rPr>
            <w:rFonts w:asciiTheme="minorHAnsi" w:hAnsiTheme="minorHAnsi" w:cstheme="minorHAnsi"/>
            <w:noProof/>
            <w:webHidden/>
            <w:sz w:val="22"/>
            <w:szCs w:val="22"/>
          </w:rPr>
          <w:tab/>
        </w:r>
        <w:r w:rsidR="002D1E7C" w:rsidRPr="002D1E7C">
          <w:rPr>
            <w:rFonts w:asciiTheme="minorHAnsi" w:hAnsiTheme="minorHAnsi" w:cstheme="minorHAnsi"/>
            <w:noProof/>
            <w:webHidden/>
            <w:sz w:val="22"/>
            <w:szCs w:val="22"/>
          </w:rPr>
          <w:fldChar w:fldCharType="begin"/>
        </w:r>
        <w:r w:rsidR="002D1E7C" w:rsidRPr="002D1E7C">
          <w:rPr>
            <w:rFonts w:asciiTheme="minorHAnsi" w:hAnsiTheme="minorHAnsi" w:cstheme="minorHAnsi"/>
            <w:noProof/>
            <w:webHidden/>
            <w:sz w:val="22"/>
            <w:szCs w:val="22"/>
          </w:rPr>
          <w:instrText xml:space="preserve"> PAGEREF _Toc210301148 \h </w:instrText>
        </w:r>
        <w:r w:rsidR="002D1E7C" w:rsidRPr="002D1E7C">
          <w:rPr>
            <w:rFonts w:asciiTheme="minorHAnsi" w:hAnsiTheme="minorHAnsi" w:cstheme="minorHAnsi"/>
            <w:noProof/>
            <w:webHidden/>
            <w:sz w:val="22"/>
            <w:szCs w:val="22"/>
          </w:rPr>
        </w:r>
        <w:r w:rsidR="002D1E7C" w:rsidRPr="002D1E7C">
          <w:rPr>
            <w:rFonts w:asciiTheme="minorHAnsi" w:hAnsiTheme="minorHAnsi" w:cstheme="minorHAnsi"/>
            <w:noProof/>
            <w:webHidden/>
            <w:sz w:val="22"/>
            <w:szCs w:val="22"/>
          </w:rPr>
          <w:fldChar w:fldCharType="separate"/>
        </w:r>
        <w:r w:rsidR="002D1E7C">
          <w:rPr>
            <w:rFonts w:asciiTheme="minorHAnsi" w:hAnsiTheme="minorHAnsi" w:cstheme="minorHAnsi"/>
            <w:noProof/>
            <w:webHidden/>
            <w:sz w:val="22"/>
            <w:szCs w:val="22"/>
          </w:rPr>
          <w:t>11</w:t>
        </w:r>
        <w:r w:rsidR="002D1E7C" w:rsidRPr="002D1E7C">
          <w:rPr>
            <w:rFonts w:asciiTheme="minorHAnsi" w:hAnsiTheme="minorHAnsi" w:cstheme="minorHAnsi"/>
            <w:noProof/>
            <w:webHidden/>
            <w:sz w:val="22"/>
            <w:szCs w:val="22"/>
          </w:rPr>
          <w:fldChar w:fldCharType="end"/>
        </w:r>
      </w:hyperlink>
    </w:p>
    <w:p w:rsidR="002D1E7C" w:rsidRPr="002D1E7C" w:rsidRDefault="00DB6919">
      <w:pPr>
        <w:pStyle w:val="TOC2"/>
        <w:tabs>
          <w:tab w:val="left" w:pos="851"/>
          <w:tab w:val="right" w:leader="dot" w:pos="9062"/>
        </w:tabs>
        <w:rPr>
          <w:rFonts w:asciiTheme="minorHAnsi" w:eastAsiaTheme="minorEastAsia" w:hAnsiTheme="minorHAnsi" w:cstheme="minorHAnsi"/>
          <w:smallCaps w:val="0"/>
          <w:noProof/>
          <w:sz w:val="22"/>
          <w:szCs w:val="22"/>
        </w:rPr>
      </w:pPr>
      <w:hyperlink w:anchor="_Toc210301149" w:history="1">
        <w:r w:rsidR="002D1E7C" w:rsidRPr="002D1E7C">
          <w:rPr>
            <w:rStyle w:val="Hyperlink"/>
            <w:rFonts w:asciiTheme="minorHAnsi" w:hAnsiTheme="minorHAnsi" w:cstheme="minorHAnsi"/>
            <w:noProof/>
            <w:sz w:val="22"/>
            <w:szCs w:val="22"/>
            <w:lang w:val="sr-Cyrl-BA"/>
          </w:rPr>
          <w:t>2.2.</w:t>
        </w:r>
        <w:r w:rsidR="002D1E7C" w:rsidRPr="002D1E7C">
          <w:rPr>
            <w:rFonts w:asciiTheme="minorHAnsi" w:eastAsiaTheme="minorEastAsia" w:hAnsiTheme="minorHAnsi" w:cstheme="minorHAnsi"/>
            <w:smallCaps w:val="0"/>
            <w:noProof/>
            <w:sz w:val="22"/>
            <w:szCs w:val="22"/>
          </w:rPr>
          <w:tab/>
        </w:r>
        <w:r w:rsidR="002D1E7C" w:rsidRPr="002D1E7C">
          <w:rPr>
            <w:rStyle w:val="Hyperlink"/>
            <w:rFonts w:asciiTheme="minorHAnsi" w:hAnsiTheme="minorHAnsi" w:cstheme="minorHAnsi"/>
            <w:noProof/>
            <w:sz w:val="22"/>
            <w:szCs w:val="22"/>
            <w:lang w:val="sr-Cyrl-BA"/>
          </w:rPr>
          <w:t>Regulisanje sektora električne energije</w:t>
        </w:r>
        <w:r w:rsidR="002D1E7C" w:rsidRPr="002D1E7C">
          <w:rPr>
            <w:rFonts w:asciiTheme="minorHAnsi" w:hAnsiTheme="minorHAnsi" w:cstheme="minorHAnsi"/>
            <w:noProof/>
            <w:webHidden/>
            <w:sz w:val="22"/>
            <w:szCs w:val="22"/>
          </w:rPr>
          <w:tab/>
        </w:r>
        <w:r w:rsidR="002D1E7C" w:rsidRPr="002D1E7C">
          <w:rPr>
            <w:rFonts w:asciiTheme="minorHAnsi" w:hAnsiTheme="minorHAnsi" w:cstheme="minorHAnsi"/>
            <w:noProof/>
            <w:webHidden/>
            <w:sz w:val="22"/>
            <w:szCs w:val="22"/>
          </w:rPr>
          <w:fldChar w:fldCharType="begin"/>
        </w:r>
        <w:r w:rsidR="002D1E7C" w:rsidRPr="002D1E7C">
          <w:rPr>
            <w:rFonts w:asciiTheme="minorHAnsi" w:hAnsiTheme="minorHAnsi" w:cstheme="minorHAnsi"/>
            <w:noProof/>
            <w:webHidden/>
            <w:sz w:val="22"/>
            <w:szCs w:val="22"/>
          </w:rPr>
          <w:instrText xml:space="preserve"> PAGEREF _Toc210301149 \h </w:instrText>
        </w:r>
        <w:r w:rsidR="002D1E7C" w:rsidRPr="002D1E7C">
          <w:rPr>
            <w:rFonts w:asciiTheme="minorHAnsi" w:hAnsiTheme="minorHAnsi" w:cstheme="minorHAnsi"/>
            <w:noProof/>
            <w:webHidden/>
            <w:sz w:val="22"/>
            <w:szCs w:val="22"/>
          </w:rPr>
        </w:r>
        <w:r w:rsidR="002D1E7C" w:rsidRPr="002D1E7C">
          <w:rPr>
            <w:rFonts w:asciiTheme="minorHAnsi" w:hAnsiTheme="minorHAnsi" w:cstheme="minorHAnsi"/>
            <w:noProof/>
            <w:webHidden/>
            <w:sz w:val="22"/>
            <w:szCs w:val="22"/>
          </w:rPr>
          <w:fldChar w:fldCharType="separate"/>
        </w:r>
        <w:r w:rsidR="002D1E7C">
          <w:rPr>
            <w:rFonts w:asciiTheme="minorHAnsi" w:hAnsiTheme="minorHAnsi" w:cstheme="minorHAnsi"/>
            <w:noProof/>
            <w:webHidden/>
            <w:sz w:val="22"/>
            <w:szCs w:val="22"/>
          </w:rPr>
          <w:t>11</w:t>
        </w:r>
        <w:r w:rsidR="002D1E7C" w:rsidRPr="002D1E7C">
          <w:rPr>
            <w:rFonts w:asciiTheme="minorHAnsi" w:hAnsiTheme="minorHAnsi" w:cstheme="minorHAnsi"/>
            <w:noProof/>
            <w:webHidden/>
            <w:sz w:val="22"/>
            <w:szCs w:val="22"/>
          </w:rPr>
          <w:fldChar w:fldCharType="end"/>
        </w:r>
      </w:hyperlink>
    </w:p>
    <w:p w:rsidR="002D1E7C" w:rsidRPr="002D1E7C" w:rsidRDefault="00DB6919">
      <w:pPr>
        <w:pStyle w:val="TOC3"/>
        <w:rPr>
          <w:rFonts w:asciiTheme="minorHAnsi" w:eastAsiaTheme="minorEastAsia" w:hAnsiTheme="minorHAnsi" w:cstheme="minorHAnsi"/>
          <w:iCs w:val="0"/>
          <w:noProof/>
        </w:rPr>
      </w:pPr>
      <w:hyperlink w:anchor="_Toc210301150" w:history="1">
        <w:r w:rsidR="002D1E7C" w:rsidRPr="002D1E7C">
          <w:rPr>
            <w:rStyle w:val="Hyperlink"/>
            <w:rFonts w:asciiTheme="minorHAnsi" w:hAnsiTheme="minorHAnsi" w:cstheme="minorHAnsi"/>
            <w:noProof/>
            <w:lang w:val="sr-Cyrl-BA"/>
          </w:rPr>
          <w:t>2.2.1.</w:t>
        </w:r>
        <w:r w:rsidR="002D1E7C" w:rsidRPr="002D1E7C">
          <w:rPr>
            <w:rFonts w:asciiTheme="minorHAnsi" w:eastAsiaTheme="minorEastAsia" w:hAnsiTheme="minorHAnsi" w:cstheme="minorHAnsi"/>
            <w:iCs w:val="0"/>
            <w:noProof/>
          </w:rPr>
          <w:tab/>
        </w:r>
        <w:r w:rsidR="002D1E7C" w:rsidRPr="002D1E7C">
          <w:rPr>
            <w:rStyle w:val="Hyperlink"/>
            <w:rFonts w:asciiTheme="minorHAnsi" w:hAnsiTheme="minorHAnsi" w:cstheme="minorHAnsi"/>
            <w:noProof/>
            <w:lang w:val="sr-Cyrl-BA"/>
          </w:rPr>
          <w:t>Donošenje i odobravanje pravila i propisa</w:t>
        </w:r>
        <w:r w:rsidR="002D1E7C" w:rsidRPr="002D1E7C">
          <w:rPr>
            <w:rFonts w:asciiTheme="minorHAnsi" w:hAnsiTheme="minorHAnsi" w:cstheme="minorHAnsi"/>
            <w:noProof/>
            <w:webHidden/>
          </w:rPr>
          <w:tab/>
        </w:r>
        <w:r w:rsidR="002D1E7C" w:rsidRPr="002D1E7C">
          <w:rPr>
            <w:rFonts w:asciiTheme="minorHAnsi" w:hAnsiTheme="minorHAnsi" w:cstheme="minorHAnsi"/>
            <w:noProof/>
            <w:webHidden/>
          </w:rPr>
          <w:fldChar w:fldCharType="begin"/>
        </w:r>
        <w:r w:rsidR="002D1E7C" w:rsidRPr="002D1E7C">
          <w:rPr>
            <w:rFonts w:asciiTheme="minorHAnsi" w:hAnsiTheme="minorHAnsi" w:cstheme="minorHAnsi"/>
            <w:noProof/>
            <w:webHidden/>
          </w:rPr>
          <w:instrText xml:space="preserve"> PAGEREF _Toc210301150 \h </w:instrText>
        </w:r>
        <w:r w:rsidR="002D1E7C" w:rsidRPr="002D1E7C">
          <w:rPr>
            <w:rFonts w:asciiTheme="minorHAnsi" w:hAnsiTheme="minorHAnsi" w:cstheme="minorHAnsi"/>
            <w:noProof/>
            <w:webHidden/>
          </w:rPr>
        </w:r>
        <w:r w:rsidR="002D1E7C" w:rsidRPr="002D1E7C">
          <w:rPr>
            <w:rFonts w:asciiTheme="minorHAnsi" w:hAnsiTheme="minorHAnsi" w:cstheme="minorHAnsi"/>
            <w:noProof/>
            <w:webHidden/>
          </w:rPr>
          <w:fldChar w:fldCharType="separate"/>
        </w:r>
        <w:r w:rsidR="002D1E7C">
          <w:rPr>
            <w:rFonts w:asciiTheme="minorHAnsi" w:hAnsiTheme="minorHAnsi" w:cstheme="minorHAnsi"/>
            <w:noProof/>
            <w:webHidden/>
          </w:rPr>
          <w:t>11</w:t>
        </w:r>
        <w:r w:rsidR="002D1E7C" w:rsidRPr="002D1E7C">
          <w:rPr>
            <w:rFonts w:asciiTheme="minorHAnsi" w:hAnsiTheme="minorHAnsi" w:cstheme="minorHAnsi"/>
            <w:noProof/>
            <w:webHidden/>
          </w:rPr>
          <w:fldChar w:fldCharType="end"/>
        </w:r>
      </w:hyperlink>
    </w:p>
    <w:p w:rsidR="002D1E7C" w:rsidRPr="002D1E7C" w:rsidRDefault="00DB6919">
      <w:pPr>
        <w:pStyle w:val="TOC3"/>
        <w:rPr>
          <w:rFonts w:asciiTheme="minorHAnsi" w:eastAsiaTheme="minorEastAsia" w:hAnsiTheme="minorHAnsi" w:cstheme="minorHAnsi"/>
          <w:iCs w:val="0"/>
          <w:noProof/>
        </w:rPr>
      </w:pPr>
      <w:hyperlink w:anchor="_Toc210301151" w:history="1">
        <w:r w:rsidR="002D1E7C" w:rsidRPr="002D1E7C">
          <w:rPr>
            <w:rStyle w:val="Hyperlink"/>
            <w:rFonts w:asciiTheme="minorHAnsi" w:hAnsiTheme="minorHAnsi" w:cstheme="minorHAnsi"/>
            <w:noProof/>
            <w:lang w:val="sr-Cyrl-BA"/>
          </w:rPr>
          <w:t>2.2.2.</w:t>
        </w:r>
        <w:r w:rsidR="002D1E7C" w:rsidRPr="002D1E7C">
          <w:rPr>
            <w:rFonts w:asciiTheme="minorHAnsi" w:eastAsiaTheme="minorEastAsia" w:hAnsiTheme="minorHAnsi" w:cstheme="minorHAnsi"/>
            <w:iCs w:val="0"/>
            <w:noProof/>
          </w:rPr>
          <w:tab/>
        </w:r>
        <w:r w:rsidR="002D1E7C" w:rsidRPr="002D1E7C">
          <w:rPr>
            <w:rStyle w:val="Hyperlink"/>
            <w:rFonts w:asciiTheme="minorHAnsi" w:hAnsiTheme="minorHAnsi" w:cstheme="minorHAnsi"/>
            <w:noProof/>
            <w:lang w:val="sr-Cyrl-BA"/>
          </w:rPr>
          <w:t>Izdavanje dozvola</w:t>
        </w:r>
        <w:r w:rsidR="002D1E7C" w:rsidRPr="002D1E7C">
          <w:rPr>
            <w:rFonts w:asciiTheme="minorHAnsi" w:hAnsiTheme="minorHAnsi" w:cstheme="minorHAnsi"/>
            <w:noProof/>
            <w:webHidden/>
          </w:rPr>
          <w:tab/>
        </w:r>
        <w:r w:rsidR="002D1E7C" w:rsidRPr="002D1E7C">
          <w:rPr>
            <w:rFonts w:asciiTheme="minorHAnsi" w:hAnsiTheme="minorHAnsi" w:cstheme="minorHAnsi"/>
            <w:noProof/>
            <w:webHidden/>
          </w:rPr>
          <w:fldChar w:fldCharType="begin"/>
        </w:r>
        <w:r w:rsidR="002D1E7C" w:rsidRPr="002D1E7C">
          <w:rPr>
            <w:rFonts w:asciiTheme="minorHAnsi" w:hAnsiTheme="minorHAnsi" w:cstheme="minorHAnsi"/>
            <w:noProof/>
            <w:webHidden/>
          </w:rPr>
          <w:instrText xml:space="preserve"> PAGEREF _Toc210301151 \h </w:instrText>
        </w:r>
        <w:r w:rsidR="002D1E7C" w:rsidRPr="002D1E7C">
          <w:rPr>
            <w:rFonts w:asciiTheme="minorHAnsi" w:hAnsiTheme="minorHAnsi" w:cstheme="minorHAnsi"/>
            <w:noProof/>
            <w:webHidden/>
          </w:rPr>
        </w:r>
        <w:r w:rsidR="002D1E7C" w:rsidRPr="002D1E7C">
          <w:rPr>
            <w:rFonts w:asciiTheme="minorHAnsi" w:hAnsiTheme="minorHAnsi" w:cstheme="minorHAnsi"/>
            <w:noProof/>
            <w:webHidden/>
          </w:rPr>
          <w:fldChar w:fldCharType="separate"/>
        </w:r>
        <w:r w:rsidR="002D1E7C">
          <w:rPr>
            <w:rFonts w:asciiTheme="minorHAnsi" w:hAnsiTheme="minorHAnsi" w:cstheme="minorHAnsi"/>
            <w:noProof/>
            <w:webHidden/>
          </w:rPr>
          <w:t>13</w:t>
        </w:r>
        <w:r w:rsidR="002D1E7C" w:rsidRPr="002D1E7C">
          <w:rPr>
            <w:rFonts w:asciiTheme="minorHAnsi" w:hAnsiTheme="minorHAnsi" w:cstheme="minorHAnsi"/>
            <w:noProof/>
            <w:webHidden/>
          </w:rPr>
          <w:fldChar w:fldCharType="end"/>
        </w:r>
      </w:hyperlink>
    </w:p>
    <w:p w:rsidR="002D1E7C" w:rsidRPr="002D1E7C" w:rsidRDefault="00DB6919">
      <w:pPr>
        <w:pStyle w:val="TOC3"/>
        <w:rPr>
          <w:rFonts w:asciiTheme="minorHAnsi" w:eastAsiaTheme="minorEastAsia" w:hAnsiTheme="minorHAnsi" w:cstheme="minorHAnsi"/>
          <w:iCs w:val="0"/>
          <w:noProof/>
        </w:rPr>
      </w:pPr>
      <w:hyperlink w:anchor="_Toc210301152" w:history="1">
        <w:r w:rsidR="002D1E7C" w:rsidRPr="002D1E7C">
          <w:rPr>
            <w:rStyle w:val="Hyperlink"/>
            <w:rFonts w:asciiTheme="minorHAnsi" w:hAnsiTheme="minorHAnsi" w:cstheme="minorHAnsi"/>
            <w:noProof/>
            <w:lang w:val="sr-Cyrl-BA"/>
          </w:rPr>
          <w:t>2.2.3.</w:t>
        </w:r>
        <w:r w:rsidR="002D1E7C" w:rsidRPr="002D1E7C">
          <w:rPr>
            <w:rFonts w:asciiTheme="minorHAnsi" w:eastAsiaTheme="minorEastAsia" w:hAnsiTheme="minorHAnsi" w:cstheme="minorHAnsi"/>
            <w:iCs w:val="0"/>
            <w:noProof/>
          </w:rPr>
          <w:tab/>
        </w:r>
        <w:r w:rsidR="002D1E7C" w:rsidRPr="002D1E7C">
          <w:rPr>
            <w:rStyle w:val="Hyperlink"/>
            <w:rFonts w:asciiTheme="minorHAnsi" w:hAnsiTheme="minorHAnsi" w:cstheme="minorHAnsi"/>
            <w:noProof/>
            <w:lang w:val="sr-Cyrl-BA"/>
          </w:rPr>
          <w:t>Nadgledanje poslovnih aktivnosti korisnika dozvola</w:t>
        </w:r>
        <w:r w:rsidR="002D1E7C" w:rsidRPr="002D1E7C">
          <w:rPr>
            <w:rFonts w:asciiTheme="minorHAnsi" w:hAnsiTheme="minorHAnsi" w:cstheme="minorHAnsi"/>
            <w:noProof/>
            <w:webHidden/>
          </w:rPr>
          <w:tab/>
        </w:r>
        <w:r w:rsidR="002D1E7C" w:rsidRPr="002D1E7C">
          <w:rPr>
            <w:rFonts w:asciiTheme="minorHAnsi" w:hAnsiTheme="minorHAnsi" w:cstheme="minorHAnsi"/>
            <w:noProof/>
            <w:webHidden/>
          </w:rPr>
          <w:fldChar w:fldCharType="begin"/>
        </w:r>
        <w:r w:rsidR="002D1E7C" w:rsidRPr="002D1E7C">
          <w:rPr>
            <w:rFonts w:asciiTheme="minorHAnsi" w:hAnsiTheme="minorHAnsi" w:cstheme="minorHAnsi"/>
            <w:noProof/>
            <w:webHidden/>
          </w:rPr>
          <w:instrText xml:space="preserve"> PAGEREF _Toc210301152 \h </w:instrText>
        </w:r>
        <w:r w:rsidR="002D1E7C" w:rsidRPr="002D1E7C">
          <w:rPr>
            <w:rFonts w:asciiTheme="minorHAnsi" w:hAnsiTheme="minorHAnsi" w:cstheme="minorHAnsi"/>
            <w:noProof/>
            <w:webHidden/>
          </w:rPr>
        </w:r>
        <w:r w:rsidR="002D1E7C" w:rsidRPr="002D1E7C">
          <w:rPr>
            <w:rFonts w:asciiTheme="minorHAnsi" w:hAnsiTheme="minorHAnsi" w:cstheme="minorHAnsi"/>
            <w:noProof/>
            <w:webHidden/>
          </w:rPr>
          <w:fldChar w:fldCharType="separate"/>
        </w:r>
        <w:r w:rsidR="002D1E7C">
          <w:rPr>
            <w:rFonts w:asciiTheme="minorHAnsi" w:hAnsiTheme="minorHAnsi" w:cstheme="minorHAnsi"/>
            <w:noProof/>
            <w:webHidden/>
          </w:rPr>
          <w:t>16</w:t>
        </w:r>
        <w:r w:rsidR="002D1E7C" w:rsidRPr="002D1E7C">
          <w:rPr>
            <w:rFonts w:asciiTheme="minorHAnsi" w:hAnsiTheme="minorHAnsi" w:cstheme="minorHAnsi"/>
            <w:noProof/>
            <w:webHidden/>
          </w:rPr>
          <w:fldChar w:fldCharType="end"/>
        </w:r>
      </w:hyperlink>
    </w:p>
    <w:p w:rsidR="002D1E7C" w:rsidRPr="002D1E7C" w:rsidRDefault="00DB6919">
      <w:pPr>
        <w:pStyle w:val="TOC3"/>
        <w:rPr>
          <w:rFonts w:asciiTheme="minorHAnsi" w:eastAsiaTheme="minorEastAsia" w:hAnsiTheme="minorHAnsi" w:cstheme="minorHAnsi"/>
          <w:iCs w:val="0"/>
          <w:noProof/>
        </w:rPr>
      </w:pPr>
      <w:hyperlink w:anchor="_Toc210301153" w:history="1">
        <w:r w:rsidR="002D1E7C" w:rsidRPr="002D1E7C">
          <w:rPr>
            <w:rStyle w:val="Hyperlink"/>
            <w:rFonts w:asciiTheme="minorHAnsi" w:hAnsiTheme="minorHAnsi" w:cstheme="minorHAnsi"/>
            <w:noProof/>
            <w:lang w:val="sr-Cyrl-BA"/>
          </w:rPr>
          <w:t>2.2.4.</w:t>
        </w:r>
        <w:r w:rsidR="002D1E7C" w:rsidRPr="002D1E7C">
          <w:rPr>
            <w:rFonts w:asciiTheme="minorHAnsi" w:eastAsiaTheme="minorEastAsia" w:hAnsiTheme="minorHAnsi" w:cstheme="minorHAnsi"/>
            <w:iCs w:val="0"/>
            <w:noProof/>
          </w:rPr>
          <w:tab/>
        </w:r>
        <w:r w:rsidR="002D1E7C" w:rsidRPr="002D1E7C">
          <w:rPr>
            <w:rStyle w:val="Hyperlink"/>
            <w:rFonts w:asciiTheme="minorHAnsi" w:hAnsiTheme="minorHAnsi" w:cstheme="minorHAnsi"/>
            <w:noProof/>
            <w:lang w:val="sr-Cyrl-BA"/>
          </w:rPr>
          <w:t>Izdavanje sertifikata za proizvodno postrojenje</w:t>
        </w:r>
        <w:r w:rsidR="002D1E7C" w:rsidRPr="002D1E7C">
          <w:rPr>
            <w:rFonts w:asciiTheme="minorHAnsi" w:hAnsiTheme="minorHAnsi" w:cstheme="minorHAnsi"/>
            <w:noProof/>
            <w:webHidden/>
          </w:rPr>
          <w:tab/>
        </w:r>
        <w:r w:rsidR="002D1E7C" w:rsidRPr="002D1E7C">
          <w:rPr>
            <w:rFonts w:asciiTheme="minorHAnsi" w:hAnsiTheme="minorHAnsi" w:cstheme="minorHAnsi"/>
            <w:noProof/>
            <w:webHidden/>
          </w:rPr>
          <w:fldChar w:fldCharType="begin"/>
        </w:r>
        <w:r w:rsidR="002D1E7C" w:rsidRPr="002D1E7C">
          <w:rPr>
            <w:rFonts w:asciiTheme="minorHAnsi" w:hAnsiTheme="minorHAnsi" w:cstheme="minorHAnsi"/>
            <w:noProof/>
            <w:webHidden/>
          </w:rPr>
          <w:instrText xml:space="preserve"> PAGEREF _Toc210301153 \h </w:instrText>
        </w:r>
        <w:r w:rsidR="002D1E7C" w:rsidRPr="002D1E7C">
          <w:rPr>
            <w:rFonts w:asciiTheme="minorHAnsi" w:hAnsiTheme="minorHAnsi" w:cstheme="minorHAnsi"/>
            <w:noProof/>
            <w:webHidden/>
          </w:rPr>
        </w:r>
        <w:r w:rsidR="002D1E7C" w:rsidRPr="002D1E7C">
          <w:rPr>
            <w:rFonts w:asciiTheme="minorHAnsi" w:hAnsiTheme="minorHAnsi" w:cstheme="minorHAnsi"/>
            <w:noProof/>
            <w:webHidden/>
          </w:rPr>
          <w:fldChar w:fldCharType="separate"/>
        </w:r>
        <w:r w:rsidR="002D1E7C">
          <w:rPr>
            <w:rFonts w:asciiTheme="minorHAnsi" w:hAnsiTheme="minorHAnsi" w:cstheme="minorHAnsi"/>
            <w:noProof/>
            <w:webHidden/>
          </w:rPr>
          <w:t>17</w:t>
        </w:r>
        <w:r w:rsidR="002D1E7C" w:rsidRPr="002D1E7C">
          <w:rPr>
            <w:rFonts w:asciiTheme="minorHAnsi" w:hAnsiTheme="minorHAnsi" w:cstheme="minorHAnsi"/>
            <w:noProof/>
            <w:webHidden/>
          </w:rPr>
          <w:fldChar w:fldCharType="end"/>
        </w:r>
      </w:hyperlink>
    </w:p>
    <w:p w:rsidR="002D1E7C" w:rsidRPr="002D1E7C" w:rsidRDefault="00DB6919">
      <w:pPr>
        <w:pStyle w:val="TOC3"/>
        <w:rPr>
          <w:rFonts w:asciiTheme="minorHAnsi" w:eastAsiaTheme="minorEastAsia" w:hAnsiTheme="minorHAnsi" w:cstheme="minorHAnsi"/>
          <w:iCs w:val="0"/>
          <w:noProof/>
        </w:rPr>
      </w:pPr>
      <w:hyperlink w:anchor="_Toc210301154" w:history="1">
        <w:r w:rsidR="002D1E7C" w:rsidRPr="002D1E7C">
          <w:rPr>
            <w:rStyle w:val="Hyperlink"/>
            <w:rFonts w:asciiTheme="minorHAnsi" w:hAnsiTheme="minorHAnsi" w:cstheme="minorHAnsi"/>
            <w:noProof/>
            <w:lang w:val="sr-Cyrl-BA"/>
          </w:rPr>
          <w:t>2.2.5.</w:t>
        </w:r>
        <w:r w:rsidR="002D1E7C" w:rsidRPr="002D1E7C">
          <w:rPr>
            <w:rFonts w:asciiTheme="minorHAnsi" w:eastAsiaTheme="minorEastAsia" w:hAnsiTheme="minorHAnsi" w:cstheme="minorHAnsi"/>
            <w:iCs w:val="0"/>
            <w:noProof/>
          </w:rPr>
          <w:tab/>
        </w:r>
        <w:r w:rsidR="002D1E7C" w:rsidRPr="002D1E7C">
          <w:rPr>
            <w:rStyle w:val="Hyperlink"/>
            <w:rFonts w:asciiTheme="minorHAnsi" w:hAnsiTheme="minorHAnsi" w:cstheme="minorHAnsi"/>
            <w:noProof/>
            <w:lang w:val="sr-Cyrl-BA"/>
          </w:rPr>
          <w:t>Nadgledanje ispunjenosti kriterijuma na osnovu kojih je izdat sertifikat za proizvodno postrojenje</w:t>
        </w:r>
        <w:r w:rsidR="002D1E7C" w:rsidRPr="002D1E7C">
          <w:rPr>
            <w:rFonts w:asciiTheme="minorHAnsi" w:hAnsiTheme="minorHAnsi" w:cstheme="minorHAnsi"/>
            <w:noProof/>
            <w:webHidden/>
          </w:rPr>
          <w:tab/>
        </w:r>
        <w:r w:rsidR="002D1E7C" w:rsidRPr="002D1E7C">
          <w:rPr>
            <w:rFonts w:asciiTheme="minorHAnsi" w:hAnsiTheme="minorHAnsi" w:cstheme="minorHAnsi"/>
            <w:noProof/>
            <w:webHidden/>
          </w:rPr>
          <w:fldChar w:fldCharType="begin"/>
        </w:r>
        <w:r w:rsidR="002D1E7C" w:rsidRPr="002D1E7C">
          <w:rPr>
            <w:rFonts w:asciiTheme="minorHAnsi" w:hAnsiTheme="minorHAnsi" w:cstheme="minorHAnsi"/>
            <w:noProof/>
            <w:webHidden/>
          </w:rPr>
          <w:instrText xml:space="preserve"> PAGEREF _Toc210301154 \h </w:instrText>
        </w:r>
        <w:r w:rsidR="002D1E7C" w:rsidRPr="002D1E7C">
          <w:rPr>
            <w:rFonts w:asciiTheme="minorHAnsi" w:hAnsiTheme="minorHAnsi" w:cstheme="minorHAnsi"/>
            <w:noProof/>
            <w:webHidden/>
          </w:rPr>
        </w:r>
        <w:r w:rsidR="002D1E7C" w:rsidRPr="002D1E7C">
          <w:rPr>
            <w:rFonts w:asciiTheme="minorHAnsi" w:hAnsiTheme="minorHAnsi" w:cstheme="minorHAnsi"/>
            <w:noProof/>
            <w:webHidden/>
          </w:rPr>
          <w:fldChar w:fldCharType="separate"/>
        </w:r>
        <w:r w:rsidR="002D1E7C">
          <w:rPr>
            <w:rFonts w:asciiTheme="minorHAnsi" w:hAnsiTheme="minorHAnsi" w:cstheme="minorHAnsi"/>
            <w:noProof/>
            <w:webHidden/>
          </w:rPr>
          <w:t>18</w:t>
        </w:r>
        <w:r w:rsidR="002D1E7C" w:rsidRPr="002D1E7C">
          <w:rPr>
            <w:rFonts w:asciiTheme="minorHAnsi" w:hAnsiTheme="minorHAnsi" w:cstheme="minorHAnsi"/>
            <w:noProof/>
            <w:webHidden/>
          </w:rPr>
          <w:fldChar w:fldCharType="end"/>
        </w:r>
      </w:hyperlink>
    </w:p>
    <w:p w:rsidR="002D1E7C" w:rsidRPr="002D1E7C" w:rsidRDefault="00DB6919">
      <w:pPr>
        <w:pStyle w:val="TOC3"/>
        <w:rPr>
          <w:rFonts w:asciiTheme="minorHAnsi" w:eastAsiaTheme="minorEastAsia" w:hAnsiTheme="minorHAnsi" w:cstheme="minorHAnsi"/>
          <w:iCs w:val="0"/>
          <w:noProof/>
        </w:rPr>
      </w:pPr>
      <w:hyperlink w:anchor="_Toc210301155" w:history="1">
        <w:r w:rsidR="002D1E7C" w:rsidRPr="002D1E7C">
          <w:rPr>
            <w:rStyle w:val="Hyperlink"/>
            <w:rFonts w:asciiTheme="minorHAnsi" w:hAnsiTheme="minorHAnsi" w:cstheme="minorHAnsi"/>
            <w:noProof/>
            <w:lang w:val="sr-Cyrl-BA"/>
          </w:rPr>
          <w:t>2.2.6.</w:t>
        </w:r>
        <w:r w:rsidR="002D1E7C" w:rsidRPr="002D1E7C">
          <w:rPr>
            <w:rFonts w:asciiTheme="minorHAnsi" w:eastAsiaTheme="minorEastAsia" w:hAnsiTheme="minorHAnsi" w:cstheme="minorHAnsi"/>
            <w:iCs w:val="0"/>
            <w:noProof/>
          </w:rPr>
          <w:tab/>
        </w:r>
        <w:r w:rsidR="002D1E7C" w:rsidRPr="002D1E7C">
          <w:rPr>
            <w:rStyle w:val="Hyperlink"/>
            <w:rFonts w:asciiTheme="minorHAnsi" w:hAnsiTheme="minorHAnsi" w:cstheme="minorHAnsi"/>
            <w:noProof/>
            <w:lang w:val="sr-Cyrl-BA"/>
          </w:rPr>
          <w:t>Izdavanje garancija o porijeklu električne energije</w:t>
        </w:r>
        <w:r w:rsidR="002D1E7C" w:rsidRPr="002D1E7C">
          <w:rPr>
            <w:rFonts w:asciiTheme="minorHAnsi" w:hAnsiTheme="minorHAnsi" w:cstheme="minorHAnsi"/>
            <w:noProof/>
            <w:webHidden/>
          </w:rPr>
          <w:tab/>
        </w:r>
        <w:r w:rsidR="002D1E7C" w:rsidRPr="002D1E7C">
          <w:rPr>
            <w:rFonts w:asciiTheme="minorHAnsi" w:hAnsiTheme="minorHAnsi" w:cstheme="minorHAnsi"/>
            <w:noProof/>
            <w:webHidden/>
          </w:rPr>
          <w:fldChar w:fldCharType="begin"/>
        </w:r>
        <w:r w:rsidR="002D1E7C" w:rsidRPr="002D1E7C">
          <w:rPr>
            <w:rFonts w:asciiTheme="minorHAnsi" w:hAnsiTheme="minorHAnsi" w:cstheme="minorHAnsi"/>
            <w:noProof/>
            <w:webHidden/>
          </w:rPr>
          <w:instrText xml:space="preserve"> PAGEREF _Toc210301155 \h </w:instrText>
        </w:r>
        <w:r w:rsidR="002D1E7C" w:rsidRPr="002D1E7C">
          <w:rPr>
            <w:rFonts w:asciiTheme="minorHAnsi" w:hAnsiTheme="minorHAnsi" w:cstheme="minorHAnsi"/>
            <w:noProof/>
            <w:webHidden/>
          </w:rPr>
        </w:r>
        <w:r w:rsidR="002D1E7C" w:rsidRPr="002D1E7C">
          <w:rPr>
            <w:rFonts w:asciiTheme="minorHAnsi" w:hAnsiTheme="minorHAnsi" w:cstheme="minorHAnsi"/>
            <w:noProof/>
            <w:webHidden/>
          </w:rPr>
          <w:fldChar w:fldCharType="separate"/>
        </w:r>
        <w:r w:rsidR="002D1E7C">
          <w:rPr>
            <w:rFonts w:asciiTheme="minorHAnsi" w:hAnsiTheme="minorHAnsi" w:cstheme="minorHAnsi"/>
            <w:noProof/>
            <w:webHidden/>
          </w:rPr>
          <w:t>18</w:t>
        </w:r>
        <w:r w:rsidR="002D1E7C" w:rsidRPr="002D1E7C">
          <w:rPr>
            <w:rFonts w:asciiTheme="minorHAnsi" w:hAnsiTheme="minorHAnsi" w:cstheme="minorHAnsi"/>
            <w:noProof/>
            <w:webHidden/>
          </w:rPr>
          <w:fldChar w:fldCharType="end"/>
        </w:r>
      </w:hyperlink>
    </w:p>
    <w:p w:rsidR="002D1E7C" w:rsidRPr="002D1E7C" w:rsidRDefault="00DB6919">
      <w:pPr>
        <w:pStyle w:val="TOC3"/>
        <w:rPr>
          <w:rFonts w:asciiTheme="minorHAnsi" w:eastAsiaTheme="minorEastAsia" w:hAnsiTheme="minorHAnsi" w:cstheme="minorHAnsi"/>
          <w:iCs w:val="0"/>
          <w:noProof/>
        </w:rPr>
      </w:pPr>
      <w:hyperlink w:anchor="_Toc210301156" w:history="1">
        <w:r w:rsidR="002D1E7C" w:rsidRPr="002D1E7C">
          <w:rPr>
            <w:rStyle w:val="Hyperlink"/>
            <w:rFonts w:asciiTheme="minorHAnsi" w:hAnsiTheme="minorHAnsi" w:cstheme="minorHAnsi"/>
            <w:noProof/>
            <w:lang w:val="sr-Cyrl-BA"/>
          </w:rPr>
          <w:t>2.2.7.</w:t>
        </w:r>
        <w:r w:rsidR="002D1E7C" w:rsidRPr="002D1E7C">
          <w:rPr>
            <w:rFonts w:asciiTheme="minorHAnsi" w:eastAsiaTheme="minorEastAsia" w:hAnsiTheme="minorHAnsi" w:cstheme="minorHAnsi"/>
            <w:iCs w:val="0"/>
            <w:noProof/>
          </w:rPr>
          <w:tab/>
        </w:r>
        <w:r w:rsidR="002D1E7C" w:rsidRPr="002D1E7C">
          <w:rPr>
            <w:rStyle w:val="Hyperlink"/>
            <w:rFonts w:asciiTheme="minorHAnsi" w:hAnsiTheme="minorHAnsi" w:cstheme="minorHAnsi"/>
            <w:noProof/>
            <w:lang w:val="sr-Cyrl-BA"/>
          </w:rPr>
          <w:t>Regulacija cijena</w:t>
        </w:r>
        <w:r w:rsidR="002D1E7C" w:rsidRPr="002D1E7C">
          <w:rPr>
            <w:rFonts w:asciiTheme="minorHAnsi" w:hAnsiTheme="minorHAnsi" w:cstheme="minorHAnsi"/>
            <w:noProof/>
            <w:webHidden/>
          </w:rPr>
          <w:tab/>
        </w:r>
        <w:r w:rsidR="002D1E7C" w:rsidRPr="002D1E7C">
          <w:rPr>
            <w:rFonts w:asciiTheme="minorHAnsi" w:hAnsiTheme="minorHAnsi" w:cstheme="minorHAnsi"/>
            <w:noProof/>
            <w:webHidden/>
          </w:rPr>
          <w:fldChar w:fldCharType="begin"/>
        </w:r>
        <w:r w:rsidR="002D1E7C" w:rsidRPr="002D1E7C">
          <w:rPr>
            <w:rFonts w:asciiTheme="minorHAnsi" w:hAnsiTheme="minorHAnsi" w:cstheme="minorHAnsi"/>
            <w:noProof/>
            <w:webHidden/>
          </w:rPr>
          <w:instrText xml:space="preserve"> PAGEREF _Toc210301156 \h </w:instrText>
        </w:r>
        <w:r w:rsidR="002D1E7C" w:rsidRPr="002D1E7C">
          <w:rPr>
            <w:rFonts w:asciiTheme="minorHAnsi" w:hAnsiTheme="minorHAnsi" w:cstheme="minorHAnsi"/>
            <w:noProof/>
            <w:webHidden/>
          </w:rPr>
        </w:r>
        <w:r w:rsidR="002D1E7C" w:rsidRPr="002D1E7C">
          <w:rPr>
            <w:rFonts w:asciiTheme="minorHAnsi" w:hAnsiTheme="minorHAnsi" w:cstheme="minorHAnsi"/>
            <w:noProof/>
            <w:webHidden/>
          </w:rPr>
          <w:fldChar w:fldCharType="separate"/>
        </w:r>
        <w:r w:rsidR="002D1E7C">
          <w:rPr>
            <w:rFonts w:asciiTheme="minorHAnsi" w:hAnsiTheme="minorHAnsi" w:cstheme="minorHAnsi"/>
            <w:noProof/>
            <w:webHidden/>
          </w:rPr>
          <w:t>19</w:t>
        </w:r>
        <w:r w:rsidR="002D1E7C" w:rsidRPr="002D1E7C">
          <w:rPr>
            <w:rFonts w:asciiTheme="minorHAnsi" w:hAnsiTheme="minorHAnsi" w:cstheme="minorHAnsi"/>
            <w:noProof/>
            <w:webHidden/>
          </w:rPr>
          <w:fldChar w:fldCharType="end"/>
        </w:r>
      </w:hyperlink>
    </w:p>
    <w:p w:rsidR="002D1E7C" w:rsidRPr="002D1E7C" w:rsidRDefault="00DB6919">
      <w:pPr>
        <w:pStyle w:val="TOC3"/>
        <w:rPr>
          <w:rFonts w:asciiTheme="minorHAnsi" w:eastAsiaTheme="minorEastAsia" w:hAnsiTheme="minorHAnsi" w:cstheme="minorHAnsi"/>
          <w:iCs w:val="0"/>
          <w:noProof/>
        </w:rPr>
      </w:pPr>
      <w:hyperlink w:anchor="_Toc210301157" w:history="1">
        <w:r w:rsidR="002D1E7C" w:rsidRPr="002D1E7C">
          <w:rPr>
            <w:rStyle w:val="Hyperlink"/>
            <w:rFonts w:asciiTheme="minorHAnsi" w:hAnsiTheme="minorHAnsi" w:cstheme="minorHAnsi"/>
            <w:noProof/>
            <w:lang w:val="sr-Cyrl-BA"/>
          </w:rPr>
          <w:t>2.2.8.</w:t>
        </w:r>
        <w:r w:rsidR="002D1E7C" w:rsidRPr="002D1E7C">
          <w:rPr>
            <w:rFonts w:asciiTheme="minorHAnsi" w:eastAsiaTheme="minorEastAsia" w:hAnsiTheme="minorHAnsi" w:cstheme="minorHAnsi"/>
            <w:iCs w:val="0"/>
            <w:noProof/>
          </w:rPr>
          <w:tab/>
        </w:r>
        <w:r w:rsidR="002D1E7C" w:rsidRPr="002D1E7C">
          <w:rPr>
            <w:rStyle w:val="Hyperlink"/>
            <w:rFonts w:asciiTheme="minorHAnsi" w:hAnsiTheme="minorHAnsi" w:cstheme="minorHAnsi"/>
            <w:noProof/>
            <w:lang w:val="sr-Cyrl-BA"/>
          </w:rPr>
          <w:t>Pravo na podsticaj proizvodnje električne energije iz obnovljivih izvora</w:t>
        </w:r>
        <w:r w:rsidR="002D1E7C" w:rsidRPr="002D1E7C">
          <w:rPr>
            <w:rFonts w:asciiTheme="minorHAnsi" w:hAnsiTheme="minorHAnsi" w:cstheme="minorHAnsi"/>
            <w:noProof/>
            <w:webHidden/>
          </w:rPr>
          <w:tab/>
        </w:r>
        <w:r w:rsidR="002D1E7C" w:rsidRPr="002D1E7C">
          <w:rPr>
            <w:rFonts w:asciiTheme="minorHAnsi" w:hAnsiTheme="minorHAnsi" w:cstheme="minorHAnsi"/>
            <w:noProof/>
            <w:webHidden/>
          </w:rPr>
          <w:fldChar w:fldCharType="begin"/>
        </w:r>
        <w:r w:rsidR="002D1E7C" w:rsidRPr="002D1E7C">
          <w:rPr>
            <w:rFonts w:asciiTheme="minorHAnsi" w:hAnsiTheme="minorHAnsi" w:cstheme="minorHAnsi"/>
            <w:noProof/>
            <w:webHidden/>
          </w:rPr>
          <w:instrText xml:space="preserve"> PAGEREF _Toc210301157 \h </w:instrText>
        </w:r>
        <w:r w:rsidR="002D1E7C" w:rsidRPr="002D1E7C">
          <w:rPr>
            <w:rFonts w:asciiTheme="minorHAnsi" w:hAnsiTheme="minorHAnsi" w:cstheme="minorHAnsi"/>
            <w:noProof/>
            <w:webHidden/>
          </w:rPr>
        </w:r>
        <w:r w:rsidR="002D1E7C" w:rsidRPr="002D1E7C">
          <w:rPr>
            <w:rFonts w:asciiTheme="minorHAnsi" w:hAnsiTheme="minorHAnsi" w:cstheme="minorHAnsi"/>
            <w:noProof/>
            <w:webHidden/>
          </w:rPr>
          <w:fldChar w:fldCharType="separate"/>
        </w:r>
        <w:r w:rsidR="002D1E7C">
          <w:rPr>
            <w:rFonts w:asciiTheme="minorHAnsi" w:hAnsiTheme="minorHAnsi" w:cstheme="minorHAnsi"/>
            <w:noProof/>
            <w:webHidden/>
          </w:rPr>
          <w:t>20</w:t>
        </w:r>
        <w:r w:rsidR="002D1E7C" w:rsidRPr="002D1E7C">
          <w:rPr>
            <w:rFonts w:asciiTheme="minorHAnsi" w:hAnsiTheme="minorHAnsi" w:cstheme="minorHAnsi"/>
            <w:noProof/>
            <w:webHidden/>
          </w:rPr>
          <w:fldChar w:fldCharType="end"/>
        </w:r>
      </w:hyperlink>
    </w:p>
    <w:p w:rsidR="002D1E7C" w:rsidRPr="002D1E7C" w:rsidRDefault="00DB6919">
      <w:pPr>
        <w:pStyle w:val="TOC3"/>
        <w:rPr>
          <w:rFonts w:asciiTheme="minorHAnsi" w:eastAsiaTheme="minorEastAsia" w:hAnsiTheme="minorHAnsi" w:cstheme="minorHAnsi"/>
          <w:iCs w:val="0"/>
          <w:noProof/>
        </w:rPr>
      </w:pPr>
      <w:hyperlink w:anchor="_Toc210301158" w:history="1">
        <w:r w:rsidR="002D1E7C" w:rsidRPr="002D1E7C">
          <w:rPr>
            <w:rStyle w:val="Hyperlink"/>
            <w:rFonts w:asciiTheme="minorHAnsi" w:hAnsiTheme="minorHAnsi" w:cstheme="minorHAnsi"/>
            <w:noProof/>
            <w:lang w:val="sr-Cyrl-BA"/>
          </w:rPr>
          <w:t>2.2.9.</w:t>
        </w:r>
        <w:r w:rsidR="002D1E7C" w:rsidRPr="002D1E7C">
          <w:rPr>
            <w:rFonts w:asciiTheme="minorHAnsi" w:eastAsiaTheme="minorEastAsia" w:hAnsiTheme="minorHAnsi" w:cstheme="minorHAnsi"/>
            <w:iCs w:val="0"/>
            <w:noProof/>
          </w:rPr>
          <w:tab/>
        </w:r>
        <w:r w:rsidR="002D1E7C" w:rsidRPr="002D1E7C">
          <w:rPr>
            <w:rStyle w:val="Hyperlink"/>
            <w:rFonts w:asciiTheme="minorHAnsi" w:hAnsiTheme="minorHAnsi" w:cstheme="minorHAnsi"/>
            <w:noProof/>
            <w:lang w:val="sr-Cyrl-BA"/>
          </w:rPr>
          <w:t>Tržište električne energije</w:t>
        </w:r>
        <w:r w:rsidR="002D1E7C" w:rsidRPr="002D1E7C">
          <w:rPr>
            <w:rFonts w:asciiTheme="minorHAnsi" w:hAnsiTheme="minorHAnsi" w:cstheme="minorHAnsi"/>
            <w:noProof/>
            <w:webHidden/>
          </w:rPr>
          <w:tab/>
        </w:r>
        <w:r w:rsidR="002D1E7C" w:rsidRPr="002D1E7C">
          <w:rPr>
            <w:rFonts w:asciiTheme="minorHAnsi" w:hAnsiTheme="minorHAnsi" w:cstheme="minorHAnsi"/>
            <w:noProof/>
            <w:webHidden/>
          </w:rPr>
          <w:fldChar w:fldCharType="begin"/>
        </w:r>
        <w:r w:rsidR="002D1E7C" w:rsidRPr="002D1E7C">
          <w:rPr>
            <w:rFonts w:asciiTheme="minorHAnsi" w:hAnsiTheme="minorHAnsi" w:cstheme="minorHAnsi"/>
            <w:noProof/>
            <w:webHidden/>
          </w:rPr>
          <w:instrText xml:space="preserve"> PAGEREF _Toc210301158 \h </w:instrText>
        </w:r>
        <w:r w:rsidR="002D1E7C" w:rsidRPr="002D1E7C">
          <w:rPr>
            <w:rFonts w:asciiTheme="minorHAnsi" w:hAnsiTheme="minorHAnsi" w:cstheme="minorHAnsi"/>
            <w:noProof/>
            <w:webHidden/>
          </w:rPr>
        </w:r>
        <w:r w:rsidR="002D1E7C" w:rsidRPr="002D1E7C">
          <w:rPr>
            <w:rFonts w:asciiTheme="minorHAnsi" w:hAnsiTheme="minorHAnsi" w:cstheme="minorHAnsi"/>
            <w:noProof/>
            <w:webHidden/>
          </w:rPr>
          <w:fldChar w:fldCharType="separate"/>
        </w:r>
        <w:r w:rsidR="002D1E7C">
          <w:rPr>
            <w:rFonts w:asciiTheme="minorHAnsi" w:hAnsiTheme="minorHAnsi" w:cstheme="minorHAnsi"/>
            <w:noProof/>
            <w:webHidden/>
          </w:rPr>
          <w:t>20</w:t>
        </w:r>
        <w:r w:rsidR="002D1E7C" w:rsidRPr="002D1E7C">
          <w:rPr>
            <w:rFonts w:asciiTheme="minorHAnsi" w:hAnsiTheme="minorHAnsi" w:cstheme="minorHAnsi"/>
            <w:noProof/>
            <w:webHidden/>
          </w:rPr>
          <w:fldChar w:fldCharType="end"/>
        </w:r>
      </w:hyperlink>
    </w:p>
    <w:p w:rsidR="002D1E7C" w:rsidRPr="002D1E7C" w:rsidRDefault="00DB6919">
      <w:pPr>
        <w:pStyle w:val="TOC3"/>
        <w:rPr>
          <w:rFonts w:asciiTheme="minorHAnsi" w:eastAsiaTheme="minorEastAsia" w:hAnsiTheme="minorHAnsi" w:cstheme="minorHAnsi"/>
          <w:iCs w:val="0"/>
          <w:noProof/>
        </w:rPr>
      </w:pPr>
      <w:hyperlink w:anchor="_Toc210301159" w:history="1">
        <w:r w:rsidR="002D1E7C" w:rsidRPr="002D1E7C">
          <w:rPr>
            <w:rStyle w:val="Hyperlink"/>
            <w:rFonts w:asciiTheme="minorHAnsi" w:hAnsiTheme="minorHAnsi" w:cstheme="minorHAnsi"/>
            <w:noProof/>
            <w:lang w:val="sr-Cyrl-BA"/>
          </w:rPr>
          <w:t>2.2.10.</w:t>
        </w:r>
        <w:r w:rsidR="002D1E7C" w:rsidRPr="002D1E7C">
          <w:rPr>
            <w:rFonts w:asciiTheme="minorHAnsi" w:eastAsiaTheme="minorEastAsia" w:hAnsiTheme="minorHAnsi" w:cstheme="minorHAnsi"/>
            <w:iCs w:val="0"/>
            <w:noProof/>
          </w:rPr>
          <w:tab/>
        </w:r>
        <w:r w:rsidR="002D1E7C" w:rsidRPr="002D1E7C">
          <w:rPr>
            <w:rStyle w:val="Hyperlink"/>
            <w:rFonts w:asciiTheme="minorHAnsi" w:hAnsiTheme="minorHAnsi" w:cstheme="minorHAnsi"/>
            <w:noProof/>
            <w:lang w:val="sr-Cyrl-BA"/>
          </w:rPr>
          <w:t>Zaštita kupaca električne energije</w:t>
        </w:r>
        <w:r w:rsidR="002D1E7C" w:rsidRPr="002D1E7C">
          <w:rPr>
            <w:rFonts w:asciiTheme="minorHAnsi" w:hAnsiTheme="minorHAnsi" w:cstheme="minorHAnsi"/>
            <w:noProof/>
            <w:webHidden/>
          </w:rPr>
          <w:tab/>
        </w:r>
        <w:r w:rsidR="002D1E7C" w:rsidRPr="002D1E7C">
          <w:rPr>
            <w:rFonts w:asciiTheme="minorHAnsi" w:hAnsiTheme="minorHAnsi" w:cstheme="minorHAnsi"/>
            <w:noProof/>
            <w:webHidden/>
          </w:rPr>
          <w:fldChar w:fldCharType="begin"/>
        </w:r>
        <w:r w:rsidR="002D1E7C" w:rsidRPr="002D1E7C">
          <w:rPr>
            <w:rFonts w:asciiTheme="minorHAnsi" w:hAnsiTheme="minorHAnsi" w:cstheme="minorHAnsi"/>
            <w:noProof/>
            <w:webHidden/>
          </w:rPr>
          <w:instrText xml:space="preserve"> PAGEREF _Toc210301159 \h </w:instrText>
        </w:r>
        <w:r w:rsidR="002D1E7C" w:rsidRPr="002D1E7C">
          <w:rPr>
            <w:rFonts w:asciiTheme="minorHAnsi" w:hAnsiTheme="minorHAnsi" w:cstheme="minorHAnsi"/>
            <w:noProof/>
            <w:webHidden/>
          </w:rPr>
        </w:r>
        <w:r w:rsidR="002D1E7C" w:rsidRPr="002D1E7C">
          <w:rPr>
            <w:rFonts w:asciiTheme="minorHAnsi" w:hAnsiTheme="minorHAnsi" w:cstheme="minorHAnsi"/>
            <w:noProof/>
            <w:webHidden/>
          </w:rPr>
          <w:fldChar w:fldCharType="separate"/>
        </w:r>
        <w:r w:rsidR="002D1E7C">
          <w:rPr>
            <w:rFonts w:asciiTheme="minorHAnsi" w:hAnsiTheme="minorHAnsi" w:cstheme="minorHAnsi"/>
            <w:noProof/>
            <w:webHidden/>
          </w:rPr>
          <w:t>22</w:t>
        </w:r>
        <w:r w:rsidR="002D1E7C" w:rsidRPr="002D1E7C">
          <w:rPr>
            <w:rFonts w:asciiTheme="minorHAnsi" w:hAnsiTheme="minorHAnsi" w:cstheme="minorHAnsi"/>
            <w:noProof/>
            <w:webHidden/>
          </w:rPr>
          <w:fldChar w:fldCharType="end"/>
        </w:r>
      </w:hyperlink>
    </w:p>
    <w:p w:rsidR="002D1E7C" w:rsidRPr="002D1E7C" w:rsidRDefault="00DB6919">
      <w:pPr>
        <w:pStyle w:val="TOC3"/>
        <w:rPr>
          <w:rFonts w:asciiTheme="minorHAnsi" w:eastAsiaTheme="minorEastAsia" w:hAnsiTheme="minorHAnsi" w:cstheme="minorHAnsi"/>
          <w:iCs w:val="0"/>
          <w:noProof/>
        </w:rPr>
      </w:pPr>
      <w:hyperlink w:anchor="_Toc210301160" w:history="1">
        <w:r w:rsidR="002D1E7C" w:rsidRPr="002D1E7C">
          <w:rPr>
            <w:rStyle w:val="Hyperlink"/>
            <w:rFonts w:asciiTheme="minorHAnsi" w:hAnsiTheme="minorHAnsi" w:cstheme="minorHAnsi"/>
            <w:noProof/>
            <w:lang w:val="sr-Cyrl-BA"/>
          </w:rPr>
          <w:t>2.3.</w:t>
        </w:r>
        <w:r w:rsidR="002D1E7C" w:rsidRPr="002D1E7C">
          <w:rPr>
            <w:rFonts w:asciiTheme="minorHAnsi" w:eastAsiaTheme="minorEastAsia" w:hAnsiTheme="minorHAnsi" w:cstheme="minorHAnsi"/>
            <w:iCs w:val="0"/>
            <w:noProof/>
          </w:rPr>
          <w:tab/>
        </w:r>
        <w:r w:rsidR="002D1E7C" w:rsidRPr="002D1E7C">
          <w:rPr>
            <w:rStyle w:val="Hyperlink"/>
            <w:rFonts w:asciiTheme="minorHAnsi" w:hAnsiTheme="minorHAnsi" w:cstheme="minorHAnsi"/>
            <w:noProof/>
            <w:lang w:val="sr-Cyrl-BA"/>
          </w:rPr>
          <w:t>Regulisanje sektora prirodnog gasa</w:t>
        </w:r>
        <w:r w:rsidR="002D1E7C" w:rsidRPr="002D1E7C">
          <w:rPr>
            <w:rFonts w:asciiTheme="minorHAnsi" w:hAnsiTheme="minorHAnsi" w:cstheme="minorHAnsi"/>
            <w:noProof/>
            <w:webHidden/>
          </w:rPr>
          <w:tab/>
        </w:r>
        <w:r w:rsidR="002D1E7C" w:rsidRPr="002D1E7C">
          <w:rPr>
            <w:rFonts w:asciiTheme="minorHAnsi" w:hAnsiTheme="minorHAnsi" w:cstheme="minorHAnsi"/>
            <w:noProof/>
            <w:webHidden/>
          </w:rPr>
          <w:fldChar w:fldCharType="begin"/>
        </w:r>
        <w:r w:rsidR="002D1E7C" w:rsidRPr="002D1E7C">
          <w:rPr>
            <w:rFonts w:asciiTheme="minorHAnsi" w:hAnsiTheme="minorHAnsi" w:cstheme="minorHAnsi"/>
            <w:noProof/>
            <w:webHidden/>
          </w:rPr>
          <w:instrText xml:space="preserve"> PAGEREF _Toc210301160 \h </w:instrText>
        </w:r>
        <w:r w:rsidR="002D1E7C" w:rsidRPr="002D1E7C">
          <w:rPr>
            <w:rFonts w:asciiTheme="minorHAnsi" w:hAnsiTheme="minorHAnsi" w:cstheme="minorHAnsi"/>
            <w:noProof/>
            <w:webHidden/>
          </w:rPr>
        </w:r>
        <w:r w:rsidR="002D1E7C" w:rsidRPr="002D1E7C">
          <w:rPr>
            <w:rFonts w:asciiTheme="minorHAnsi" w:hAnsiTheme="minorHAnsi" w:cstheme="minorHAnsi"/>
            <w:noProof/>
            <w:webHidden/>
          </w:rPr>
          <w:fldChar w:fldCharType="separate"/>
        </w:r>
        <w:r w:rsidR="002D1E7C">
          <w:rPr>
            <w:rFonts w:asciiTheme="minorHAnsi" w:hAnsiTheme="minorHAnsi" w:cstheme="minorHAnsi"/>
            <w:noProof/>
            <w:webHidden/>
          </w:rPr>
          <w:t>25</w:t>
        </w:r>
        <w:r w:rsidR="002D1E7C" w:rsidRPr="002D1E7C">
          <w:rPr>
            <w:rFonts w:asciiTheme="minorHAnsi" w:hAnsiTheme="minorHAnsi" w:cstheme="minorHAnsi"/>
            <w:noProof/>
            <w:webHidden/>
          </w:rPr>
          <w:fldChar w:fldCharType="end"/>
        </w:r>
      </w:hyperlink>
    </w:p>
    <w:p w:rsidR="002D1E7C" w:rsidRPr="002D1E7C" w:rsidRDefault="00DB6919">
      <w:pPr>
        <w:pStyle w:val="TOC3"/>
        <w:rPr>
          <w:rFonts w:asciiTheme="minorHAnsi" w:eastAsiaTheme="minorEastAsia" w:hAnsiTheme="minorHAnsi" w:cstheme="minorHAnsi"/>
          <w:iCs w:val="0"/>
          <w:noProof/>
        </w:rPr>
      </w:pPr>
      <w:hyperlink w:anchor="_Toc210301161" w:history="1">
        <w:r w:rsidR="002D1E7C" w:rsidRPr="002D1E7C">
          <w:rPr>
            <w:rStyle w:val="Hyperlink"/>
            <w:rFonts w:asciiTheme="minorHAnsi" w:hAnsiTheme="minorHAnsi" w:cstheme="minorHAnsi"/>
            <w:noProof/>
            <w:lang w:val="sr-Cyrl-BA"/>
          </w:rPr>
          <w:t>2.3.1.</w:t>
        </w:r>
        <w:r w:rsidR="002D1E7C" w:rsidRPr="002D1E7C">
          <w:rPr>
            <w:rFonts w:asciiTheme="minorHAnsi" w:eastAsiaTheme="minorEastAsia" w:hAnsiTheme="minorHAnsi" w:cstheme="minorHAnsi"/>
            <w:iCs w:val="0"/>
            <w:noProof/>
          </w:rPr>
          <w:tab/>
        </w:r>
        <w:r w:rsidR="002D1E7C" w:rsidRPr="002D1E7C">
          <w:rPr>
            <w:rStyle w:val="Hyperlink"/>
            <w:rFonts w:asciiTheme="minorHAnsi" w:hAnsiTheme="minorHAnsi" w:cstheme="minorHAnsi"/>
            <w:noProof/>
            <w:lang w:val="sr-Cyrl-BA"/>
          </w:rPr>
          <w:t>Donošenje i odobravanje pravila i propisa</w:t>
        </w:r>
        <w:r w:rsidR="002D1E7C" w:rsidRPr="002D1E7C">
          <w:rPr>
            <w:rFonts w:asciiTheme="minorHAnsi" w:hAnsiTheme="minorHAnsi" w:cstheme="minorHAnsi"/>
            <w:noProof/>
            <w:webHidden/>
          </w:rPr>
          <w:tab/>
        </w:r>
        <w:r w:rsidR="002D1E7C" w:rsidRPr="002D1E7C">
          <w:rPr>
            <w:rFonts w:asciiTheme="minorHAnsi" w:hAnsiTheme="minorHAnsi" w:cstheme="minorHAnsi"/>
            <w:noProof/>
            <w:webHidden/>
          </w:rPr>
          <w:fldChar w:fldCharType="begin"/>
        </w:r>
        <w:r w:rsidR="002D1E7C" w:rsidRPr="002D1E7C">
          <w:rPr>
            <w:rFonts w:asciiTheme="minorHAnsi" w:hAnsiTheme="minorHAnsi" w:cstheme="minorHAnsi"/>
            <w:noProof/>
            <w:webHidden/>
          </w:rPr>
          <w:instrText xml:space="preserve"> PAGEREF _Toc210301161 \h </w:instrText>
        </w:r>
        <w:r w:rsidR="002D1E7C" w:rsidRPr="002D1E7C">
          <w:rPr>
            <w:rFonts w:asciiTheme="minorHAnsi" w:hAnsiTheme="minorHAnsi" w:cstheme="minorHAnsi"/>
            <w:noProof/>
            <w:webHidden/>
          </w:rPr>
        </w:r>
        <w:r w:rsidR="002D1E7C" w:rsidRPr="002D1E7C">
          <w:rPr>
            <w:rFonts w:asciiTheme="minorHAnsi" w:hAnsiTheme="minorHAnsi" w:cstheme="minorHAnsi"/>
            <w:noProof/>
            <w:webHidden/>
          </w:rPr>
          <w:fldChar w:fldCharType="separate"/>
        </w:r>
        <w:r w:rsidR="002D1E7C">
          <w:rPr>
            <w:rFonts w:asciiTheme="minorHAnsi" w:hAnsiTheme="minorHAnsi" w:cstheme="minorHAnsi"/>
            <w:noProof/>
            <w:webHidden/>
          </w:rPr>
          <w:t>25</w:t>
        </w:r>
        <w:r w:rsidR="002D1E7C" w:rsidRPr="002D1E7C">
          <w:rPr>
            <w:rFonts w:asciiTheme="minorHAnsi" w:hAnsiTheme="minorHAnsi" w:cstheme="minorHAnsi"/>
            <w:noProof/>
            <w:webHidden/>
          </w:rPr>
          <w:fldChar w:fldCharType="end"/>
        </w:r>
      </w:hyperlink>
    </w:p>
    <w:p w:rsidR="002D1E7C" w:rsidRPr="002D1E7C" w:rsidRDefault="00DB6919">
      <w:pPr>
        <w:pStyle w:val="TOC3"/>
        <w:rPr>
          <w:rFonts w:asciiTheme="minorHAnsi" w:eastAsiaTheme="minorEastAsia" w:hAnsiTheme="minorHAnsi" w:cstheme="minorHAnsi"/>
          <w:iCs w:val="0"/>
          <w:noProof/>
        </w:rPr>
      </w:pPr>
      <w:hyperlink w:anchor="_Toc210301162" w:history="1">
        <w:r w:rsidR="002D1E7C" w:rsidRPr="002D1E7C">
          <w:rPr>
            <w:rStyle w:val="Hyperlink"/>
            <w:rFonts w:asciiTheme="minorHAnsi" w:hAnsiTheme="minorHAnsi" w:cstheme="minorHAnsi"/>
            <w:noProof/>
            <w:lang w:val="sr-Cyrl-BA"/>
          </w:rPr>
          <w:t>2.3.2.</w:t>
        </w:r>
        <w:r w:rsidR="002D1E7C" w:rsidRPr="002D1E7C">
          <w:rPr>
            <w:rFonts w:asciiTheme="minorHAnsi" w:eastAsiaTheme="minorEastAsia" w:hAnsiTheme="minorHAnsi" w:cstheme="minorHAnsi"/>
            <w:iCs w:val="0"/>
            <w:noProof/>
          </w:rPr>
          <w:tab/>
        </w:r>
        <w:r w:rsidR="002D1E7C" w:rsidRPr="002D1E7C">
          <w:rPr>
            <w:rStyle w:val="Hyperlink"/>
            <w:rFonts w:asciiTheme="minorHAnsi" w:hAnsiTheme="minorHAnsi" w:cstheme="minorHAnsi"/>
            <w:noProof/>
            <w:lang w:val="sr-Cyrl-BA"/>
          </w:rPr>
          <w:t>Sertifikacija operatora transportnog sistema</w:t>
        </w:r>
        <w:r w:rsidR="002D1E7C" w:rsidRPr="002D1E7C">
          <w:rPr>
            <w:rFonts w:asciiTheme="minorHAnsi" w:hAnsiTheme="minorHAnsi" w:cstheme="minorHAnsi"/>
            <w:noProof/>
            <w:webHidden/>
          </w:rPr>
          <w:tab/>
        </w:r>
        <w:r w:rsidR="002D1E7C" w:rsidRPr="002D1E7C">
          <w:rPr>
            <w:rFonts w:asciiTheme="minorHAnsi" w:hAnsiTheme="minorHAnsi" w:cstheme="minorHAnsi"/>
            <w:noProof/>
            <w:webHidden/>
          </w:rPr>
          <w:fldChar w:fldCharType="begin"/>
        </w:r>
        <w:r w:rsidR="002D1E7C" w:rsidRPr="002D1E7C">
          <w:rPr>
            <w:rFonts w:asciiTheme="minorHAnsi" w:hAnsiTheme="minorHAnsi" w:cstheme="minorHAnsi"/>
            <w:noProof/>
            <w:webHidden/>
          </w:rPr>
          <w:instrText xml:space="preserve"> PAGEREF _Toc210301162 \h </w:instrText>
        </w:r>
        <w:r w:rsidR="002D1E7C" w:rsidRPr="002D1E7C">
          <w:rPr>
            <w:rFonts w:asciiTheme="minorHAnsi" w:hAnsiTheme="minorHAnsi" w:cstheme="minorHAnsi"/>
            <w:noProof/>
            <w:webHidden/>
          </w:rPr>
        </w:r>
        <w:r w:rsidR="002D1E7C" w:rsidRPr="002D1E7C">
          <w:rPr>
            <w:rFonts w:asciiTheme="minorHAnsi" w:hAnsiTheme="minorHAnsi" w:cstheme="minorHAnsi"/>
            <w:noProof/>
            <w:webHidden/>
          </w:rPr>
          <w:fldChar w:fldCharType="separate"/>
        </w:r>
        <w:r w:rsidR="002D1E7C">
          <w:rPr>
            <w:rFonts w:asciiTheme="minorHAnsi" w:hAnsiTheme="minorHAnsi" w:cstheme="minorHAnsi"/>
            <w:noProof/>
            <w:webHidden/>
          </w:rPr>
          <w:t>26</w:t>
        </w:r>
        <w:r w:rsidR="002D1E7C" w:rsidRPr="002D1E7C">
          <w:rPr>
            <w:rFonts w:asciiTheme="minorHAnsi" w:hAnsiTheme="minorHAnsi" w:cstheme="minorHAnsi"/>
            <w:noProof/>
            <w:webHidden/>
          </w:rPr>
          <w:fldChar w:fldCharType="end"/>
        </w:r>
      </w:hyperlink>
    </w:p>
    <w:p w:rsidR="002D1E7C" w:rsidRPr="002D1E7C" w:rsidRDefault="00DB6919">
      <w:pPr>
        <w:pStyle w:val="TOC3"/>
        <w:rPr>
          <w:rFonts w:asciiTheme="minorHAnsi" w:eastAsiaTheme="minorEastAsia" w:hAnsiTheme="minorHAnsi" w:cstheme="minorHAnsi"/>
          <w:iCs w:val="0"/>
          <w:noProof/>
        </w:rPr>
      </w:pPr>
      <w:hyperlink w:anchor="_Toc210301163" w:history="1">
        <w:r w:rsidR="002D1E7C" w:rsidRPr="002D1E7C">
          <w:rPr>
            <w:rStyle w:val="Hyperlink"/>
            <w:rFonts w:asciiTheme="minorHAnsi" w:hAnsiTheme="minorHAnsi" w:cstheme="minorHAnsi"/>
            <w:noProof/>
            <w:lang w:val="sr-Cyrl-BA"/>
          </w:rPr>
          <w:t>2.3.3.</w:t>
        </w:r>
        <w:r w:rsidR="002D1E7C" w:rsidRPr="002D1E7C">
          <w:rPr>
            <w:rFonts w:asciiTheme="minorHAnsi" w:eastAsiaTheme="minorEastAsia" w:hAnsiTheme="minorHAnsi" w:cstheme="minorHAnsi"/>
            <w:iCs w:val="0"/>
            <w:noProof/>
          </w:rPr>
          <w:tab/>
        </w:r>
        <w:r w:rsidR="002D1E7C" w:rsidRPr="002D1E7C">
          <w:rPr>
            <w:rStyle w:val="Hyperlink"/>
            <w:rFonts w:asciiTheme="minorHAnsi" w:hAnsiTheme="minorHAnsi" w:cstheme="minorHAnsi"/>
            <w:noProof/>
            <w:lang w:val="sr-Cyrl-BA"/>
          </w:rPr>
          <w:t>Izdavanje dozvola</w:t>
        </w:r>
        <w:r w:rsidR="002D1E7C" w:rsidRPr="002D1E7C">
          <w:rPr>
            <w:rFonts w:asciiTheme="minorHAnsi" w:hAnsiTheme="minorHAnsi" w:cstheme="minorHAnsi"/>
            <w:noProof/>
            <w:webHidden/>
          </w:rPr>
          <w:tab/>
        </w:r>
        <w:r w:rsidR="002D1E7C" w:rsidRPr="002D1E7C">
          <w:rPr>
            <w:rFonts w:asciiTheme="minorHAnsi" w:hAnsiTheme="minorHAnsi" w:cstheme="minorHAnsi"/>
            <w:noProof/>
            <w:webHidden/>
          </w:rPr>
          <w:fldChar w:fldCharType="begin"/>
        </w:r>
        <w:r w:rsidR="002D1E7C" w:rsidRPr="002D1E7C">
          <w:rPr>
            <w:rFonts w:asciiTheme="minorHAnsi" w:hAnsiTheme="minorHAnsi" w:cstheme="minorHAnsi"/>
            <w:noProof/>
            <w:webHidden/>
          </w:rPr>
          <w:instrText xml:space="preserve"> PAGEREF _Toc210301163 \h </w:instrText>
        </w:r>
        <w:r w:rsidR="002D1E7C" w:rsidRPr="002D1E7C">
          <w:rPr>
            <w:rFonts w:asciiTheme="minorHAnsi" w:hAnsiTheme="minorHAnsi" w:cstheme="minorHAnsi"/>
            <w:noProof/>
            <w:webHidden/>
          </w:rPr>
        </w:r>
        <w:r w:rsidR="002D1E7C" w:rsidRPr="002D1E7C">
          <w:rPr>
            <w:rFonts w:asciiTheme="minorHAnsi" w:hAnsiTheme="minorHAnsi" w:cstheme="minorHAnsi"/>
            <w:noProof/>
            <w:webHidden/>
          </w:rPr>
          <w:fldChar w:fldCharType="separate"/>
        </w:r>
        <w:r w:rsidR="002D1E7C">
          <w:rPr>
            <w:rFonts w:asciiTheme="minorHAnsi" w:hAnsiTheme="minorHAnsi" w:cstheme="minorHAnsi"/>
            <w:noProof/>
            <w:webHidden/>
          </w:rPr>
          <w:t>26</w:t>
        </w:r>
        <w:r w:rsidR="002D1E7C" w:rsidRPr="002D1E7C">
          <w:rPr>
            <w:rFonts w:asciiTheme="minorHAnsi" w:hAnsiTheme="minorHAnsi" w:cstheme="minorHAnsi"/>
            <w:noProof/>
            <w:webHidden/>
          </w:rPr>
          <w:fldChar w:fldCharType="end"/>
        </w:r>
      </w:hyperlink>
    </w:p>
    <w:p w:rsidR="002D1E7C" w:rsidRPr="002D1E7C" w:rsidRDefault="00DB6919">
      <w:pPr>
        <w:pStyle w:val="TOC3"/>
        <w:rPr>
          <w:rFonts w:asciiTheme="minorHAnsi" w:eastAsiaTheme="minorEastAsia" w:hAnsiTheme="minorHAnsi" w:cstheme="minorHAnsi"/>
          <w:iCs w:val="0"/>
          <w:noProof/>
        </w:rPr>
      </w:pPr>
      <w:hyperlink w:anchor="_Toc210301164" w:history="1">
        <w:r w:rsidR="002D1E7C" w:rsidRPr="002D1E7C">
          <w:rPr>
            <w:rStyle w:val="Hyperlink"/>
            <w:rFonts w:asciiTheme="minorHAnsi" w:hAnsiTheme="minorHAnsi" w:cstheme="minorHAnsi"/>
            <w:noProof/>
            <w:lang w:val="sr-Cyrl-BA"/>
          </w:rPr>
          <w:t>2.3.4.</w:t>
        </w:r>
        <w:r w:rsidR="002D1E7C" w:rsidRPr="002D1E7C">
          <w:rPr>
            <w:rFonts w:asciiTheme="minorHAnsi" w:eastAsiaTheme="minorEastAsia" w:hAnsiTheme="minorHAnsi" w:cstheme="minorHAnsi"/>
            <w:iCs w:val="0"/>
            <w:noProof/>
          </w:rPr>
          <w:tab/>
        </w:r>
        <w:r w:rsidR="002D1E7C" w:rsidRPr="002D1E7C">
          <w:rPr>
            <w:rStyle w:val="Hyperlink"/>
            <w:rFonts w:asciiTheme="minorHAnsi" w:hAnsiTheme="minorHAnsi" w:cstheme="minorHAnsi"/>
            <w:noProof/>
            <w:lang w:val="sr-Cyrl-BA"/>
          </w:rPr>
          <w:t>Nadgledanje poslovnih aktivnosti korisnika dozvola</w:t>
        </w:r>
        <w:r w:rsidR="002D1E7C" w:rsidRPr="002D1E7C">
          <w:rPr>
            <w:rFonts w:asciiTheme="minorHAnsi" w:hAnsiTheme="minorHAnsi" w:cstheme="minorHAnsi"/>
            <w:noProof/>
            <w:webHidden/>
          </w:rPr>
          <w:tab/>
        </w:r>
        <w:r w:rsidR="002D1E7C" w:rsidRPr="002D1E7C">
          <w:rPr>
            <w:rFonts w:asciiTheme="minorHAnsi" w:hAnsiTheme="minorHAnsi" w:cstheme="minorHAnsi"/>
            <w:noProof/>
            <w:webHidden/>
          </w:rPr>
          <w:fldChar w:fldCharType="begin"/>
        </w:r>
        <w:r w:rsidR="002D1E7C" w:rsidRPr="002D1E7C">
          <w:rPr>
            <w:rFonts w:asciiTheme="minorHAnsi" w:hAnsiTheme="minorHAnsi" w:cstheme="minorHAnsi"/>
            <w:noProof/>
            <w:webHidden/>
          </w:rPr>
          <w:instrText xml:space="preserve"> PAGEREF _Toc210301164 \h </w:instrText>
        </w:r>
        <w:r w:rsidR="002D1E7C" w:rsidRPr="002D1E7C">
          <w:rPr>
            <w:rFonts w:asciiTheme="minorHAnsi" w:hAnsiTheme="minorHAnsi" w:cstheme="minorHAnsi"/>
            <w:noProof/>
            <w:webHidden/>
          </w:rPr>
        </w:r>
        <w:r w:rsidR="002D1E7C" w:rsidRPr="002D1E7C">
          <w:rPr>
            <w:rFonts w:asciiTheme="minorHAnsi" w:hAnsiTheme="minorHAnsi" w:cstheme="minorHAnsi"/>
            <w:noProof/>
            <w:webHidden/>
          </w:rPr>
          <w:fldChar w:fldCharType="separate"/>
        </w:r>
        <w:r w:rsidR="002D1E7C">
          <w:rPr>
            <w:rFonts w:asciiTheme="minorHAnsi" w:hAnsiTheme="minorHAnsi" w:cstheme="minorHAnsi"/>
            <w:noProof/>
            <w:webHidden/>
          </w:rPr>
          <w:t>27</w:t>
        </w:r>
        <w:r w:rsidR="002D1E7C" w:rsidRPr="002D1E7C">
          <w:rPr>
            <w:rFonts w:asciiTheme="minorHAnsi" w:hAnsiTheme="minorHAnsi" w:cstheme="minorHAnsi"/>
            <w:noProof/>
            <w:webHidden/>
          </w:rPr>
          <w:fldChar w:fldCharType="end"/>
        </w:r>
      </w:hyperlink>
    </w:p>
    <w:p w:rsidR="002D1E7C" w:rsidRPr="002D1E7C" w:rsidRDefault="00DB6919">
      <w:pPr>
        <w:pStyle w:val="TOC3"/>
        <w:rPr>
          <w:rFonts w:asciiTheme="minorHAnsi" w:eastAsiaTheme="minorEastAsia" w:hAnsiTheme="minorHAnsi" w:cstheme="minorHAnsi"/>
          <w:iCs w:val="0"/>
          <w:noProof/>
        </w:rPr>
      </w:pPr>
      <w:hyperlink w:anchor="_Toc210301165" w:history="1">
        <w:r w:rsidR="002D1E7C" w:rsidRPr="002D1E7C">
          <w:rPr>
            <w:rStyle w:val="Hyperlink"/>
            <w:rFonts w:asciiTheme="minorHAnsi" w:hAnsiTheme="minorHAnsi" w:cstheme="minorHAnsi"/>
            <w:noProof/>
            <w:lang w:val="sr-Cyrl-BA"/>
          </w:rPr>
          <w:t>2.3.5.</w:t>
        </w:r>
        <w:r w:rsidR="002D1E7C" w:rsidRPr="002D1E7C">
          <w:rPr>
            <w:rFonts w:asciiTheme="minorHAnsi" w:eastAsiaTheme="minorEastAsia" w:hAnsiTheme="minorHAnsi" w:cstheme="minorHAnsi"/>
            <w:iCs w:val="0"/>
            <w:noProof/>
          </w:rPr>
          <w:tab/>
        </w:r>
        <w:r w:rsidR="002D1E7C" w:rsidRPr="002D1E7C">
          <w:rPr>
            <w:rStyle w:val="Hyperlink"/>
            <w:rFonts w:asciiTheme="minorHAnsi" w:hAnsiTheme="minorHAnsi" w:cstheme="minorHAnsi"/>
            <w:noProof/>
            <w:lang w:val="sr-Cyrl-BA"/>
          </w:rPr>
          <w:t>Regulacija cijena i otvaranje tržišta prirodnog gasa</w:t>
        </w:r>
        <w:r w:rsidR="002D1E7C" w:rsidRPr="002D1E7C">
          <w:rPr>
            <w:rFonts w:asciiTheme="minorHAnsi" w:hAnsiTheme="minorHAnsi" w:cstheme="minorHAnsi"/>
            <w:noProof/>
            <w:webHidden/>
          </w:rPr>
          <w:tab/>
        </w:r>
        <w:r w:rsidR="002D1E7C" w:rsidRPr="002D1E7C">
          <w:rPr>
            <w:rFonts w:asciiTheme="minorHAnsi" w:hAnsiTheme="minorHAnsi" w:cstheme="minorHAnsi"/>
            <w:noProof/>
            <w:webHidden/>
          </w:rPr>
          <w:fldChar w:fldCharType="begin"/>
        </w:r>
        <w:r w:rsidR="002D1E7C" w:rsidRPr="002D1E7C">
          <w:rPr>
            <w:rFonts w:asciiTheme="minorHAnsi" w:hAnsiTheme="minorHAnsi" w:cstheme="minorHAnsi"/>
            <w:noProof/>
            <w:webHidden/>
          </w:rPr>
          <w:instrText xml:space="preserve"> PAGEREF _Toc210301165 \h </w:instrText>
        </w:r>
        <w:r w:rsidR="002D1E7C" w:rsidRPr="002D1E7C">
          <w:rPr>
            <w:rFonts w:asciiTheme="minorHAnsi" w:hAnsiTheme="minorHAnsi" w:cstheme="minorHAnsi"/>
            <w:noProof/>
            <w:webHidden/>
          </w:rPr>
        </w:r>
        <w:r w:rsidR="002D1E7C" w:rsidRPr="002D1E7C">
          <w:rPr>
            <w:rFonts w:asciiTheme="minorHAnsi" w:hAnsiTheme="minorHAnsi" w:cstheme="minorHAnsi"/>
            <w:noProof/>
            <w:webHidden/>
          </w:rPr>
          <w:fldChar w:fldCharType="separate"/>
        </w:r>
        <w:r w:rsidR="002D1E7C">
          <w:rPr>
            <w:rFonts w:asciiTheme="minorHAnsi" w:hAnsiTheme="minorHAnsi" w:cstheme="minorHAnsi"/>
            <w:noProof/>
            <w:webHidden/>
          </w:rPr>
          <w:t>27</w:t>
        </w:r>
        <w:r w:rsidR="002D1E7C" w:rsidRPr="002D1E7C">
          <w:rPr>
            <w:rFonts w:asciiTheme="minorHAnsi" w:hAnsiTheme="minorHAnsi" w:cstheme="minorHAnsi"/>
            <w:noProof/>
            <w:webHidden/>
          </w:rPr>
          <w:fldChar w:fldCharType="end"/>
        </w:r>
      </w:hyperlink>
    </w:p>
    <w:p w:rsidR="002D1E7C" w:rsidRPr="002D1E7C" w:rsidRDefault="00DB6919">
      <w:pPr>
        <w:pStyle w:val="TOC3"/>
        <w:rPr>
          <w:rFonts w:asciiTheme="minorHAnsi" w:eastAsiaTheme="minorEastAsia" w:hAnsiTheme="minorHAnsi" w:cstheme="minorHAnsi"/>
          <w:iCs w:val="0"/>
          <w:noProof/>
        </w:rPr>
      </w:pPr>
      <w:hyperlink w:anchor="_Toc210301166" w:history="1">
        <w:r w:rsidR="002D1E7C" w:rsidRPr="002D1E7C">
          <w:rPr>
            <w:rStyle w:val="Hyperlink"/>
            <w:rFonts w:asciiTheme="minorHAnsi" w:hAnsiTheme="minorHAnsi" w:cstheme="minorHAnsi"/>
            <w:noProof/>
            <w:lang w:val="sr-Cyrl-BA"/>
          </w:rPr>
          <w:t>2.3.6.</w:t>
        </w:r>
        <w:r w:rsidR="002D1E7C" w:rsidRPr="002D1E7C">
          <w:rPr>
            <w:rFonts w:asciiTheme="minorHAnsi" w:eastAsiaTheme="minorEastAsia" w:hAnsiTheme="minorHAnsi" w:cstheme="minorHAnsi"/>
            <w:iCs w:val="0"/>
            <w:noProof/>
          </w:rPr>
          <w:tab/>
        </w:r>
        <w:r w:rsidR="002D1E7C" w:rsidRPr="002D1E7C">
          <w:rPr>
            <w:rStyle w:val="Hyperlink"/>
            <w:rFonts w:asciiTheme="minorHAnsi" w:hAnsiTheme="minorHAnsi" w:cstheme="minorHAnsi"/>
            <w:noProof/>
            <w:lang w:val="sr-Cyrl-BA"/>
          </w:rPr>
          <w:t>Zaštita kupaca prirodnog gasa</w:t>
        </w:r>
        <w:r w:rsidR="002D1E7C" w:rsidRPr="002D1E7C">
          <w:rPr>
            <w:rFonts w:asciiTheme="minorHAnsi" w:hAnsiTheme="minorHAnsi" w:cstheme="minorHAnsi"/>
            <w:noProof/>
            <w:webHidden/>
          </w:rPr>
          <w:tab/>
        </w:r>
        <w:r w:rsidR="002D1E7C" w:rsidRPr="002D1E7C">
          <w:rPr>
            <w:rFonts w:asciiTheme="minorHAnsi" w:hAnsiTheme="minorHAnsi" w:cstheme="minorHAnsi"/>
            <w:noProof/>
            <w:webHidden/>
          </w:rPr>
          <w:fldChar w:fldCharType="begin"/>
        </w:r>
        <w:r w:rsidR="002D1E7C" w:rsidRPr="002D1E7C">
          <w:rPr>
            <w:rFonts w:asciiTheme="minorHAnsi" w:hAnsiTheme="minorHAnsi" w:cstheme="minorHAnsi"/>
            <w:noProof/>
            <w:webHidden/>
          </w:rPr>
          <w:instrText xml:space="preserve"> PAGEREF _Toc210301166 \h </w:instrText>
        </w:r>
        <w:r w:rsidR="002D1E7C" w:rsidRPr="002D1E7C">
          <w:rPr>
            <w:rFonts w:asciiTheme="minorHAnsi" w:hAnsiTheme="minorHAnsi" w:cstheme="minorHAnsi"/>
            <w:noProof/>
            <w:webHidden/>
          </w:rPr>
        </w:r>
        <w:r w:rsidR="002D1E7C" w:rsidRPr="002D1E7C">
          <w:rPr>
            <w:rFonts w:asciiTheme="minorHAnsi" w:hAnsiTheme="minorHAnsi" w:cstheme="minorHAnsi"/>
            <w:noProof/>
            <w:webHidden/>
          </w:rPr>
          <w:fldChar w:fldCharType="separate"/>
        </w:r>
        <w:r w:rsidR="002D1E7C">
          <w:rPr>
            <w:rFonts w:asciiTheme="minorHAnsi" w:hAnsiTheme="minorHAnsi" w:cstheme="minorHAnsi"/>
            <w:noProof/>
            <w:webHidden/>
          </w:rPr>
          <w:t>28</w:t>
        </w:r>
        <w:r w:rsidR="002D1E7C" w:rsidRPr="002D1E7C">
          <w:rPr>
            <w:rFonts w:asciiTheme="minorHAnsi" w:hAnsiTheme="minorHAnsi" w:cstheme="minorHAnsi"/>
            <w:noProof/>
            <w:webHidden/>
          </w:rPr>
          <w:fldChar w:fldCharType="end"/>
        </w:r>
      </w:hyperlink>
    </w:p>
    <w:p w:rsidR="002D1E7C" w:rsidRPr="002D1E7C" w:rsidRDefault="00DB6919">
      <w:pPr>
        <w:pStyle w:val="TOC3"/>
        <w:rPr>
          <w:rFonts w:asciiTheme="minorHAnsi" w:eastAsiaTheme="minorEastAsia" w:hAnsiTheme="minorHAnsi" w:cstheme="minorHAnsi"/>
          <w:iCs w:val="0"/>
          <w:noProof/>
        </w:rPr>
      </w:pPr>
      <w:hyperlink w:anchor="_Toc210301167" w:history="1">
        <w:r w:rsidR="002D1E7C" w:rsidRPr="002D1E7C">
          <w:rPr>
            <w:rStyle w:val="Hyperlink"/>
            <w:rFonts w:asciiTheme="minorHAnsi" w:hAnsiTheme="minorHAnsi" w:cstheme="minorHAnsi"/>
            <w:noProof/>
            <w:lang w:val="sr-Cyrl-BA"/>
          </w:rPr>
          <w:t>2.4.</w:t>
        </w:r>
        <w:r w:rsidR="002D1E7C" w:rsidRPr="002D1E7C">
          <w:rPr>
            <w:rFonts w:asciiTheme="minorHAnsi" w:eastAsiaTheme="minorEastAsia" w:hAnsiTheme="minorHAnsi" w:cstheme="minorHAnsi"/>
            <w:iCs w:val="0"/>
            <w:noProof/>
          </w:rPr>
          <w:tab/>
        </w:r>
        <w:r w:rsidR="002D1E7C" w:rsidRPr="002D1E7C">
          <w:rPr>
            <w:rStyle w:val="Hyperlink"/>
            <w:rFonts w:asciiTheme="minorHAnsi" w:hAnsiTheme="minorHAnsi" w:cstheme="minorHAnsi"/>
            <w:noProof/>
            <w:lang w:val="sr-Cyrl-BA"/>
          </w:rPr>
          <w:t>Regulisanje sektora nafte i derivata nafte</w:t>
        </w:r>
        <w:r w:rsidR="002D1E7C" w:rsidRPr="002D1E7C">
          <w:rPr>
            <w:rFonts w:asciiTheme="minorHAnsi" w:hAnsiTheme="minorHAnsi" w:cstheme="minorHAnsi"/>
            <w:noProof/>
            <w:webHidden/>
          </w:rPr>
          <w:tab/>
        </w:r>
        <w:r w:rsidR="002D1E7C" w:rsidRPr="002D1E7C">
          <w:rPr>
            <w:rFonts w:asciiTheme="minorHAnsi" w:hAnsiTheme="minorHAnsi" w:cstheme="minorHAnsi"/>
            <w:noProof/>
            <w:webHidden/>
          </w:rPr>
          <w:fldChar w:fldCharType="begin"/>
        </w:r>
        <w:r w:rsidR="002D1E7C" w:rsidRPr="002D1E7C">
          <w:rPr>
            <w:rFonts w:asciiTheme="minorHAnsi" w:hAnsiTheme="minorHAnsi" w:cstheme="minorHAnsi"/>
            <w:noProof/>
            <w:webHidden/>
          </w:rPr>
          <w:instrText xml:space="preserve"> PAGEREF _Toc210301167 \h </w:instrText>
        </w:r>
        <w:r w:rsidR="002D1E7C" w:rsidRPr="002D1E7C">
          <w:rPr>
            <w:rFonts w:asciiTheme="minorHAnsi" w:hAnsiTheme="minorHAnsi" w:cstheme="minorHAnsi"/>
            <w:noProof/>
            <w:webHidden/>
          </w:rPr>
        </w:r>
        <w:r w:rsidR="002D1E7C" w:rsidRPr="002D1E7C">
          <w:rPr>
            <w:rFonts w:asciiTheme="minorHAnsi" w:hAnsiTheme="minorHAnsi" w:cstheme="minorHAnsi"/>
            <w:noProof/>
            <w:webHidden/>
          </w:rPr>
          <w:fldChar w:fldCharType="separate"/>
        </w:r>
        <w:r w:rsidR="002D1E7C">
          <w:rPr>
            <w:rFonts w:asciiTheme="minorHAnsi" w:hAnsiTheme="minorHAnsi" w:cstheme="minorHAnsi"/>
            <w:noProof/>
            <w:webHidden/>
          </w:rPr>
          <w:t>28</w:t>
        </w:r>
        <w:r w:rsidR="002D1E7C" w:rsidRPr="002D1E7C">
          <w:rPr>
            <w:rFonts w:asciiTheme="minorHAnsi" w:hAnsiTheme="minorHAnsi" w:cstheme="minorHAnsi"/>
            <w:noProof/>
            <w:webHidden/>
          </w:rPr>
          <w:fldChar w:fldCharType="end"/>
        </w:r>
      </w:hyperlink>
    </w:p>
    <w:p w:rsidR="002D1E7C" w:rsidRPr="002D1E7C" w:rsidRDefault="00DB6919">
      <w:pPr>
        <w:pStyle w:val="TOC3"/>
        <w:rPr>
          <w:rFonts w:asciiTheme="minorHAnsi" w:eastAsiaTheme="minorEastAsia" w:hAnsiTheme="minorHAnsi" w:cstheme="minorHAnsi"/>
          <w:iCs w:val="0"/>
          <w:noProof/>
        </w:rPr>
      </w:pPr>
      <w:hyperlink w:anchor="_Toc210301168" w:history="1">
        <w:r w:rsidR="002D1E7C" w:rsidRPr="002D1E7C">
          <w:rPr>
            <w:rStyle w:val="Hyperlink"/>
            <w:rFonts w:asciiTheme="minorHAnsi" w:hAnsiTheme="minorHAnsi" w:cstheme="minorHAnsi"/>
            <w:noProof/>
            <w:lang w:val="sr-Cyrl-BA"/>
          </w:rPr>
          <w:t>2.4.1.</w:t>
        </w:r>
        <w:r w:rsidR="002D1E7C" w:rsidRPr="002D1E7C">
          <w:rPr>
            <w:rFonts w:asciiTheme="minorHAnsi" w:eastAsiaTheme="minorEastAsia" w:hAnsiTheme="minorHAnsi" w:cstheme="minorHAnsi"/>
            <w:iCs w:val="0"/>
            <w:noProof/>
          </w:rPr>
          <w:tab/>
        </w:r>
        <w:r w:rsidR="002D1E7C" w:rsidRPr="002D1E7C">
          <w:rPr>
            <w:rStyle w:val="Hyperlink"/>
            <w:rFonts w:asciiTheme="minorHAnsi" w:hAnsiTheme="minorHAnsi" w:cstheme="minorHAnsi"/>
            <w:noProof/>
            <w:lang w:val="sr-Cyrl-BA"/>
          </w:rPr>
          <w:t>Donošenje i odobravanje pravila i propisa</w:t>
        </w:r>
        <w:r w:rsidR="002D1E7C" w:rsidRPr="002D1E7C">
          <w:rPr>
            <w:rFonts w:asciiTheme="minorHAnsi" w:hAnsiTheme="minorHAnsi" w:cstheme="minorHAnsi"/>
            <w:noProof/>
            <w:webHidden/>
          </w:rPr>
          <w:tab/>
        </w:r>
        <w:r w:rsidR="002D1E7C" w:rsidRPr="002D1E7C">
          <w:rPr>
            <w:rFonts w:asciiTheme="minorHAnsi" w:hAnsiTheme="minorHAnsi" w:cstheme="minorHAnsi"/>
            <w:noProof/>
            <w:webHidden/>
          </w:rPr>
          <w:fldChar w:fldCharType="begin"/>
        </w:r>
        <w:r w:rsidR="002D1E7C" w:rsidRPr="002D1E7C">
          <w:rPr>
            <w:rFonts w:asciiTheme="minorHAnsi" w:hAnsiTheme="minorHAnsi" w:cstheme="minorHAnsi"/>
            <w:noProof/>
            <w:webHidden/>
          </w:rPr>
          <w:instrText xml:space="preserve"> PAGEREF _Toc210301168 \h </w:instrText>
        </w:r>
        <w:r w:rsidR="002D1E7C" w:rsidRPr="002D1E7C">
          <w:rPr>
            <w:rFonts w:asciiTheme="minorHAnsi" w:hAnsiTheme="minorHAnsi" w:cstheme="minorHAnsi"/>
            <w:noProof/>
            <w:webHidden/>
          </w:rPr>
        </w:r>
        <w:r w:rsidR="002D1E7C" w:rsidRPr="002D1E7C">
          <w:rPr>
            <w:rFonts w:asciiTheme="minorHAnsi" w:hAnsiTheme="minorHAnsi" w:cstheme="minorHAnsi"/>
            <w:noProof/>
            <w:webHidden/>
          </w:rPr>
          <w:fldChar w:fldCharType="separate"/>
        </w:r>
        <w:r w:rsidR="002D1E7C">
          <w:rPr>
            <w:rFonts w:asciiTheme="minorHAnsi" w:hAnsiTheme="minorHAnsi" w:cstheme="minorHAnsi"/>
            <w:noProof/>
            <w:webHidden/>
          </w:rPr>
          <w:t>28</w:t>
        </w:r>
        <w:r w:rsidR="002D1E7C" w:rsidRPr="002D1E7C">
          <w:rPr>
            <w:rFonts w:asciiTheme="minorHAnsi" w:hAnsiTheme="minorHAnsi" w:cstheme="minorHAnsi"/>
            <w:noProof/>
            <w:webHidden/>
          </w:rPr>
          <w:fldChar w:fldCharType="end"/>
        </w:r>
      </w:hyperlink>
    </w:p>
    <w:p w:rsidR="002D1E7C" w:rsidRPr="002D1E7C" w:rsidRDefault="00DB6919">
      <w:pPr>
        <w:pStyle w:val="TOC3"/>
        <w:rPr>
          <w:rFonts w:asciiTheme="minorHAnsi" w:eastAsiaTheme="minorEastAsia" w:hAnsiTheme="minorHAnsi" w:cstheme="minorHAnsi"/>
          <w:iCs w:val="0"/>
          <w:noProof/>
        </w:rPr>
      </w:pPr>
      <w:hyperlink w:anchor="_Toc210301169" w:history="1">
        <w:r w:rsidR="002D1E7C" w:rsidRPr="002D1E7C">
          <w:rPr>
            <w:rStyle w:val="Hyperlink"/>
            <w:rFonts w:asciiTheme="minorHAnsi" w:hAnsiTheme="minorHAnsi" w:cstheme="minorHAnsi"/>
            <w:noProof/>
            <w:lang w:val="sr-Cyrl-BA"/>
          </w:rPr>
          <w:t>2.4.2.</w:t>
        </w:r>
        <w:r w:rsidR="002D1E7C" w:rsidRPr="002D1E7C">
          <w:rPr>
            <w:rFonts w:asciiTheme="minorHAnsi" w:eastAsiaTheme="minorEastAsia" w:hAnsiTheme="minorHAnsi" w:cstheme="minorHAnsi"/>
            <w:iCs w:val="0"/>
            <w:noProof/>
          </w:rPr>
          <w:tab/>
        </w:r>
        <w:r w:rsidR="002D1E7C" w:rsidRPr="002D1E7C">
          <w:rPr>
            <w:rStyle w:val="Hyperlink"/>
            <w:rFonts w:asciiTheme="minorHAnsi" w:hAnsiTheme="minorHAnsi" w:cstheme="minorHAnsi"/>
            <w:noProof/>
            <w:lang w:val="sr-Cyrl-BA"/>
          </w:rPr>
          <w:t>Izdavanje dozvola</w:t>
        </w:r>
        <w:r w:rsidR="002D1E7C" w:rsidRPr="002D1E7C">
          <w:rPr>
            <w:rFonts w:asciiTheme="minorHAnsi" w:hAnsiTheme="minorHAnsi" w:cstheme="minorHAnsi"/>
            <w:noProof/>
            <w:webHidden/>
          </w:rPr>
          <w:tab/>
        </w:r>
        <w:r w:rsidR="002D1E7C" w:rsidRPr="002D1E7C">
          <w:rPr>
            <w:rFonts w:asciiTheme="minorHAnsi" w:hAnsiTheme="minorHAnsi" w:cstheme="minorHAnsi"/>
            <w:noProof/>
            <w:webHidden/>
          </w:rPr>
          <w:fldChar w:fldCharType="begin"/>
        </w:r>
        <w:r w:rsidR="002D1E7C" w:rsidRPr="002D1E7C">
          <w:rPr>
            <w:rFonts w:asciiTheme="minorHAnsi" w:hAnsiTheme="minorHAnsi" w:cstheme="minorHAnsi"/>
            <w:noProof/>
            <w:webHidden/>
          </w:rPr>
          <w:instrText xml:space="preserve"> PAGEREF _Toc210301169 \h </w:instrText>
        </w:r>
        <w:r w:rsidR="002D1E7C" w:rsidRPr="002D1E7C">
          <w:rPr>
            <w:rFonts w:asciiTheme="minorHAnsi" w:hAnsiTheme="minorHAnsi" w:cstheme="minorHAnsi"/>
            <w:noProof/>
            <w:webHidden/>
          </w:rPr>
        </w:r>
        <w:r w:rsidR="002D1E7C" w:rsidRPr="002D1E7C">
          <w:rPr>
            <w:rFonts w:asciiTheme="minorHAnsi" w:hAnsiTheme="minorHAnsi" w:cstheme="minorHAnsi"/>
            <w:noProof/>
            <w:webHidden/>
          </w:rPr>
          <w:fldChar w:fldCharType="separate"/>
        </w:r>
        <w:r w:rsidR="002D1E7C">
          <w:rPr>
            <w:rFonts w:asciiTheme="minorHAnsi" w:hAnsiTheme="minorHAnsi" w:cstheme="minorHAnsi"/>
            <w:noProof/>
            <w:webHidden/>
          </w:rPr>
          <w:t>28</w:t>
        </w:r>
        <w:r w:rsidR="002D1E7C" w:rsidRPr="002D1E7C">
          <w:rPr>
            <w:rFonts w:asciiTheme="minorHAnsi" w:hAnsiTheme="minorHAnsi" w:cstheme="minorHAnsi"/>
            <w:noProof/>
            <w:webHidden/>
          </w:rPr>
          <w:fldChar w:fldCharType="end"/>
        </w:r>
      </w:hyperlink>
    </w:p>
    <w:p w:rsidR="002D1E7C" w:rsidRPr="002D1E7C" w:rsidRDefault="00DB6919">
      <w:pPr>
        <w:pStyle w:val="TOC3"/>
        <w:rPr>
          <w:rFonts w:asciiTheme="minorHAnsi" w:eastAsiaTheme="minorEastAsia" w:hAnsiTheme="minorHAnsi" w:cstheme="minorHAnsi"/>
          <w:iCs w:val="0"/>
          <w:noProof/>
        </w:rPr>
      </w:pPr>
      <w:hyperlink w:anchor="_Toc210301170" w:history="1">
        <w:r w:rsidR="002D1E7C" w:rsidRPr="002D1E7C">
          <w:rPr>
            <w:rStyle w:val="Hyperlink"/>
            <w:rFonts w:asciiTheme="minorHAnsi" w:hAnsiTheme="minorHAnsi" w:cstheme="minorHAnsi"/>
            <w:noProof/>
            <w:lang w:val="sr-Cyrl-BA"/>
          </w:rPr>
          <w:t>2.4.3.</w:t>
        </w:r>
        <w:r w:rsidR="002D1E7C" w:rsidRPr="002D1E7C">
          <w:rPr>
            <w:rFonts w:asciiTheme="minorHAnsi" w:eastAsiaTheme="minorEastAsia" w:hAnsiTheme="minorHAnsi" w:cstheme="minorHAnsi"/>
            <w:iCs w:val="0"/>
            <w:noProof/>
          </w:rPr>
          <w:tab/>
        </w:r>
        <w:r w:rsidR="002D1E7C" w:rsidRPr="002D1E7C">
          <w:rPr>
            <w:rStyle w:val="Hyperlink"/>
            <w:rFonts w:asciiTheme="minorHAnsi" w:hAnsiTheme="minorHAnsi" w:cstheme="minorHAnsi"/>
            <w:noProof/>
            <w:lang w:val="sr-Cyrl-BA"/>
          </w:rPr>
          <w:t>Nadgledanje poslovnih aktivnosti korisnika dozvola</w:t>
        </w:r>
        <w:r w:rsidR="002D1E7C" w:rsidRPr="002D1E7C">
          <w:rPr>
            <w:rFonts w:asciiTheme="minorHAnsi" w:hAnsiTheme="minorHAnsi" w:cstheme="minorHAnsi"/>
            <w:noProof/>
            <w:webHidden/>
          </w:rPr>
          <w:tab/>
        </w:r>
        <w:r w:rsidR="002D1E7C" w:rsidRPr="002D1E7C">
          <w:rPr>
            <w:rFonts w:asciiTheme="minorHAnsi" w:hAnsiTheme="minorHAnsi" w:cstheme="minorHAnsi"/>
            <w:noProof/>
            <w:webHidden/>
          </w:rPr>
          <w:fldChar w:fldCharType="begin"/>
        </w:r>
        <w:r w:rsidR="002D1E7C" w:rsidRPr="002D1E7C">
          <w:rPr>
            <w:rFonts w:asciiTheme="minorHAnsi" w:hAnsiTheme="minorHAnsi" w:cstheme="minorHAnsi"/>
            <w:noProof/>
            <w:webHidden/>
          </w:rPr>
          <w:instrText xml:space="preserve"> PAGEREF _Toc210301170 \h </w:instrText>
        </w:r>
        <w:r w:rsidR="002D1E7C" w:rsidRPr="002D1E7C">
          <w:rPr>
            <w:rFonts w:asciiTheme="minorHAnsi" w:hAnsiTheme="minorHAnsi" w:cstheme="minorHAnsi"/>
            <w:noProof/>
            <w:webHidden/>
          </w:rPr>
        </w:r>
        <w:r w:rsidR="002D1E7C" w:rsidRPr="002D1E7C">
          <w:rPr>
            <w:rFonts w:asciiTheme="minorHAnsi" w:hAnsiTheme="minorHAnsi" w:cstheme="minorHAnsi"/>
            <w:noProof/>
            <w:webHidden/>
          </w:rPr>
          <w:fldChar w:fldCharType="separate"/>
        </w:r>
        <w:r w:rsidR="002D1E7C">
          <w:rPr>
            <w:rFonts w:asciiTheme="minorHAnsi" w:hAnsiTheme="minorHAnsi" w:cstheme="minorHAnsi"/>
            <w:noProof/>
            <w:webHidden/>
          </w:rPr>
          <w:t>28</w:t>
        </w:r>
        <w:r w:rsidR="002D1E7C" w:rsidRPr="002D1E7C">
          <w:rPr>
            <w:rFonts w:asciiTheme="minorHAnsi" w:hAnsiTheme="minorHAnsi" w:cstheme="minorHAnsi"/>
            <w:noProof/>
            <w:webHidden/>
          </w:rPr>
          <w:fldChar w:fldCharType="end"/>
        </w:r>
      </w:hyperlink>
    </w:p>
    <w:p w:rsidR="002D1E7C" w:rsidRPr="002D1E7C" w:rsidRDefault="00DB6919">
      <w:pPr>
        <w:pStyle w:val="TOC3"/>
        <w:rPr>
          <w:rFonts w:asciiTheme="minorHAnsi" w:eastAsiaTheme="minorEastAsia" w:hAnsiTheme="minorHAnsi" w:cstheme="minorHAnsi"/>
          <w:iCs w:val="0"/>
          <w:noProof/>
        </w:rPr>
      </w:pPr>
      <w:hyperlink w:anchor="_Toc210301171" w:history="1">
        <w:r w:rsidR="002D1E7C" w:rsidRPr="002D1E7C">
          <w:rPr>
            <w:rStyle w:val="Hyperlink"/>
            <w:rFonts w:asciiTheme="minorHAnsi" w:hAnsiTheme="minorHAnsi" w:cstheme="minorHAnsi"/>
            <w:noProof/>
            <w:lang w:val="sr-Cyrl-BA"/>
          </w:rPr>
          <w:t>2.4.4.</w:t>
        </w:r>
        <w:r w:rsidR="002D1E7C" w:rsidRPr="002D1E7C">
          <w:rPr>
            <w:rFonts w:asciiTheme="minorHAnsi" w:eastAsiaTheme="minorEastAsia" w:hAnsiTheme="minorHAnsi" w:cstheme="minorHAnsi"/>
            <w:iCs w:val="0"/>
            <w:noProof/>
          </w:rPr>
          <w:tab/>
        </w:r>
        <w:r w:rsidR="002D1E7C" w:rsidRPr="002D1E7C">
          <w:rPr>
            <w:rStyle w:val="Hyperlink"/>
            <w:rFonts w:asciiTheme="minorHAnsi" w:hAnsiTheme="minorHAnsi" w:cstheme="minorHAnsi"/>
            <w:noProof/>
            <w:lang w:val="sr-Cyrl-BA"/>
          </w:rPr>
          <w:t>Regulacija cijena i otvaranje tržišta nafte i derivata nafte</w:t>
        </w:r>
        <w:r w:rsidR="002D1E7C" w:rsidRPr="002D1E7C">
          <w:rPr>
            <w:rFonts w:asciiTheme="minorHAnsi" w:hAnsiTheme="minorHAnsi" w:cstheme="minorHAnsi"/>
            <w:noProof/>
            <w:webHidden/>
          </w:rPr>
          <w:tab/>
        </w:r>
        <w:r w:rsidR="002D1E7C" w:rsidRPr="002D1E7C">
          <w:rPr>
            <w:rFonts w:asciiTheme="minorHAnsi" w:hAnsiTheme="minorHAnsi" w:cstheme="minorHAnsi"/>
            <w:noProof/>
            <w:webHidden/>
          </w:rPr>
          <w:fldChar w:fldCharType="begin"/>
        </w:r>
        <w:r w:rsidR="002D1E7C" w:rsidRPr="002D1E7C">
          <w:rPr>
            <w:rFonts w:asciiTheme="minorHAnsi" w:hAnsiTheme="minorHAnsi" w:cstheme="minorHAnsi"/>
            <w:noProof/>
            <w:webHidden/>
          </w:rPr>
          <w:instrText xml:space="preserve"> PAGEREF _Toc210301171 \h </w:instrText>
        </w:r>
        <w:r w:rsidR="002D1E7C" w:rsidRPr="002D1E7C">
          <w:rPr>
            <w:rFonts w:asciiTheme="minorHAnsi" w:hAnsiTheme="minorHAnsi" w:cstheme="minorHAnsi"/>
            <w:noProof/>
            <w:webHidden/>
          </w:rPr>
        </w:r>
        <w:r w:rsidR="002D1E7C" w:rsidRPr="002D1E7C">
          <w:rPr>
            <w:rFonts w:asciiTheme="minorHAnsi" w:hAnsiTheme="minorHAnsi" w:cstheme="minorHAnsi"/>
            <w:noProof/>
            <w:webHidden/>
          </w:rPr>
          <w:fldChar w:fldCharType="separate"/>
        </w:r>
        <w:r w:rsidR="002D1E7C">
          <w:rPr>
            <w:rFonts w:asciiTheme="minorHAnsi" w:hAnsiTheme="minorHAnsi" w:cstheme="minorHAnsi"/>
            <w:noProof/>
            <w:webHidden/>
          </w:rPr>
          <w:t>29</w:t>
        </w:r>
        <w:r w:rsidR="002D1E7C" w:rsidRPr="002D1E7C">
          <w:rPr>
            <w:rFonts w:asciiTheme="minorHAnsi" w:hAnsiTheme="minorHAnsi" w:cstheme="minorHAnsi"/>
            <w:noProof/>
            <w:webHidden/>
          </w:rPr>
          <w:fldChar w:fldCharType="end"/>
        </w:r>
      </w:hyperlink>
    </w:p>
    <w:p w:rsidR="002D1E7C" w:rsidRPr="002D1E7C" w:rsidRDefault="00DB6919">
      <w:pPr>
        <w:pStyle w:val="TOC3"/>
        <w:rPr>
          <w:rFonts w:asciiTheme="minorHAnsi" w:eastAsiaTheme="minorEastAsia" w:hAnsiTheme="minorHAnsi" w:cstheme="minorHAnsi"/>
          <w:iCs w:val="0"/>
          <w:noProof/>
        </w:rPr>
      </w:pPr>
      <w:hyperlink w:anchor="_Toc210301172" w:history="1">
        <w:r w:rsidR="002D1E7C" w:rsidRPr="002D1E7C">
          <w:rPr>
            <w:rStyle w:val="Hyperlink"/>
            <w:rFonts w:asciiTheme="minorHAnsi" w:hAnsiTheme="minorHAnsi" w:cstheme="minorHAnsi"/>
            <w:noProof/>
            <w:lang w:val="sr-Cyrl-BA"/>
          </w:rPr>
          <w:t>2.4.5.</w:t>
        </w:r>
        <w:r w:rsidR="002D1E7C" w:rsidRPr="002D1E7C">
          <w:rPr>
            <w:rFonts w:asciiTheme="minorHAnsi" w:eastAsiaTheme="minorEastAsia" w:hAnsiTheme="minorHAnsi" w:cstheme="minorHAnsi"/>
            <w:iCs w:val="0"/>
            <w:noProof/>
          </w:rPr>
          <w:tab/>
        </w:r>
        <w:r w:rsidR="002D1E7C" w:rsidRPr="002D1E7C">
          <w:rPr>
            <w:rStyle w:val="Hyperlink"/>
            <w:rFonts w:asciiTheme="minorHAnsi" w:hAnsiTheme="minorHAnsi" w:cstheme="minorHAnsi"/>
            <w:noProof/>
            <w:lang w:val="sr-Cyrl-BA"/>
          </w:rPr>
          <w:t>Zaštita kupaca u sektoru nafte i derivata nafte</w:t>
        </w:r>
        <w:r w:rsidR="002D1E7C" w:rsidRPr="002D1E7C">
          <w:rPr>
            <w:rFonts w:asciiTheme="minorHAnsi" w:hAnsiTheme="minorHAnsi" w:cstheme="minorHAnsi"/>
            <w:noProof/>
            <w:webHidden/>
          </w:rPr>
          <w:tab/>
        </w:r>
        <w:r w:rsidR="002D1E7C" w:rsidRPr="002D1E7C">
          <w:rPr>
            <w:rFonts w:asciiTheme="minorHAnsi" w:hAnsiTheme="minorHAnsi" w:cstheme="minorHAnsi"/>
            <w:noProof/>
            <w:webHidden/>
          </w:rPr>
          <w:fldChar w:fldCharType="begin"/>
        </w:r>
        <w:r w:rsidR="002D1E7C" w:rsidRPr="002D1E7C">
          <w:rPr>
            <w:rFonts w:asciiTheme="minorHAnsi" w:hAnsiTheme="minorHAnsi" w:cstheme="minorHAnsi"/>
            <w:noProof/>
            <w:webHidden/>
          </w:rPr>
          <w:instrText xml:space="preserve"> PAGEREF _Toc210301172 \h </w:instrText>
        </w:r>
        <w:r w:rsidR="002D1E7C" w:rsidRPr="002D1E7C">
          <w:rPr>
            <w:rFonts w:asciiTheme="minorHAnsi" w:hAnsiTheme="minorHAnsi" w:cstheme="minorHAnsi"/>
            <w:noProof/>
            <w:webHidden/>
          </w:rPr>
        </w:r>
        <w:r w:rsidR="002D1E7C" w:rsidRPr="002D1E7C">
          <w:rPr>
            <w:rFonts w:asciiTheme="minorHAnsi" w:hAnsiTheme="minorHAnsi" w:cstheme="minorHAnsi"/>
            <w:noProof/>
            <w:webHidden/>
          </w:rPr>
          <w:fldChar w:fldCharType="separate"/>
        </w:r>
        <w:r w:rsidR="002D1E7C">
          <w:rPr>
            <w:rFonts w:asciiTheme="minorHAnsi" w:hAnsiTheme="minorHAnsi" w:cstheme="minorHAnsi"/>
            <w:noProof/>
            <w:webHidden/>
          </w:rPr>
          <w:t>30</w:t>
        </w:r>
        <w:r w:rsidR="002D1E7C" w:rsidRPr="002D1E7C">
          <w:rPr>
            <w:rFonts w:asciiTheme="minorHAnsi" w:hAnsiTheme="minorHAnsi" w:cstheme="minorHAnsi"/>
            <w:noProof/>
            <w:webHidden/>
          </w:rPr>
          <w:fldChar w:fldCharType="end"/>
        </w:r>
      </w:hyperlink>
    </w:p>
    <w:p w:rsidR="002D1E7C" w:rsidRPr="002D1E7C" w:rsidRDefault="00DB6919">
      <w:pPr>
        <w:pStyle w:val="TOC3"/>
        <w:rPr>
          <w:rFonts w:asciiTheme="minorHAnsi" w:eastAsiaTheme="minorEastAsia" w:hAnsiTheme="minorHAnsi" w:cstheme="minorHAnsi"/>
          <w:iCs w:val="0"/>
          <w:noProof/>
        </w:rPr>
      </w:pPr>
      <w:hyperlink w:anchor="_Toc210301173" w:history="1">
        <w:r w:rsidR="002D1E7C" w:rsidRPr="002D1E7C">
          <w:rPr>
            <w:rStyle w:val="Hyperlink"/>
            <w:rFonts w:asciiTheme="minorHAnsi" w:hAnsiTheme="minorHAnsi" w:cstheme="minorHAnsi"/>
            <w:noProof/>
            <w:lang w:val="sr-Cyrl-BA"/>
          </w:rPr>
          <w:t>2.5.</w:t>
        </w:r>
        <w:r w:rsidR="002D1E7C" w:rsidRPr="002D1E7C">
          <w:rPr>
            <w:rFonts w:asciiTheme="minorHAnsi" w:eastAsiaTheme="minorEastAsia" w:hAnsiTheme="minorHAnsi" w:cstheme="minorHAnsi"/>
            <w:iCs w:val="0"/>
            <w:noProof/>
          </w:rPr>
          <w:tab/>
        </w:r>
        <w:r w:rsidR="002D1E7C" w:rsidRPr="002D1E7C">
          <w:rPr>
            <w:rStyle w:val="Hyperlink"/>
            <w:rFonts w:asciiTheme="minorHAnsi" w:hAnsiTheme="minorHAnsi" w:cstheme="minorHAnsi"/>
            <w:noProof/>
            <w:lang w:val="sr-Cyrl-BA"/>
          </w:rPr>
          <w:t>Saradnja</w:t>
        </w:r>
        <w:r w:rsidR="002D1E7C" w:rsidRPr="002D1E7C">
          <w:rPr>
            <w:rFonts w:asciiTheme="minorHAnsi" w:hAnsiTheme="minorHAnsi" w:cstheme="minorHAnsi"/>
            <w:noProof/>
            <w:webHidden/>
          </w:rPr>
          <w:tab/>
        </w:r>
        <w:r w:rsidR="002D1E7C" w:rsidRPr="002D1E7C">
          <w:rPr>
            <w:rFonts w:asciiTheme="minorHAnsi" w:hAnsiTheme="minorHAnsi" w:cstheme="minorHAnsi"/>
            <w:noProof/>
            <w:webHidden/>
          </w:rPr>
          <w:fldChar w:fldCharType="begin"/>
        </w:r>
        <w:r w:rsidR="002D1E7C" w:rsidRPr="002D1E7C">
          <w:rPr>
            <w:rFonts w:asciiTheme="minorHAnsi" w:hAnsiTheme="minorHAnsi" w:cstheme="minorHAnsi"/>
            <w:noProof/>
            <w:webHidden/>
          </w:rPr>
          <w:instrText xml:space="preserve"> PAGEREF _Toc210301173 \h </w:instrText>
        </w:r>
        <w:r w:rsidR="002D1E7C" w:rsidRPr="002D1E7C">
          <w:rPr>
            <w:rFonts w:asciiTheme="minorHAnsi" w:hAnsiTheme="minorHAnsi" w:cstheme="minorHAnsi"/>
            <w:noProof/>
            <w:webHidden/>
          </w:rPr>
        </w:r>
        <w:r w:rsidR="002D1E7C" w:rsidRPr="002D1E7C">
          <w:rPr>
            <w:rFonts w:asciiTheme="minorHAnsi" w:hAnsiTheme="minorHAnsi" w:cstheme="minorHAnsi"/>
            <w:noProof/>
            <w:webHidden/>
          </w:rPr>
          <w:fldChar w:fldCharType="separate"/>
        </w:r>
        <w:r w:rsidR="002D1E7C">
          <w:rPr>
            <w:rFonts w:asciiTheme="minorHAnsi" w:hAnsiTheme="minorHAnsi" w:cstheme="minorHAnsi"/>
            <w:noProof/>
            <w:webHidden/>
          </w:rPr>
          <w:t>30</w:t>
        </w:r>
        <w:r w:rsidR="002D1E7C" w:rsidRPr="002D1E7C">
          <w:rPr>
            <w:rFonts w:asciiTheme="minorHAnsi" w:hAnsiTheme="minorHAnsi" w:cstheme="minorHAnsi"/>
            <w:noProof/>
            <w:webHidden/>
          </w:rPr>
          <w:fldChar w:fldCharType="end"/>
        </w:r>
      </w:hyperlink>
    </w:p>
    <w:p w:rsidR="002D1E7C" w:rsidRPr="002D1E7C" w:rsidRDefault="00DB6919">
      <w:pPr>
        <w:pStyle w:val="TOC3"/>
        <w:rPr>
          <w:rFonts w:asciiTheme="minorHAnsi" w:eastAsiaTheme="minorEastAsia" w:hAnsiTheme="minorHAnsi" w:cstheme="minorHAnsi"/>
          <w:iCs w:val="0"/>
          <w:noProof/>
        </w:rPr>
      </w:pPr>
      <w:hyperlink w:anchor="_Toc210301174" w:history="1">
        <w:r w:rsidR="002D1E7C" w:rsidRPr="002D1E7C">
          <w:rPr>
            <w:rStyle w:val="Hyperlink"/>
            <w:rFonts w:asciiTheme="minorHAnsi" w:hAnsiTheme="minorHAnsi" w:cstheme="minorHAnsi"/>
            <w:noProof/>
            <w:lang w:val="sr-Cyrl-BA"/>
          </w:rPr>
          <w:t>2.5.1.</w:t>
        </w:r>
        <w:r w:rsidR="002D1E7C" w:rsidRPr="002D1E7C">
          <w:rPr>
            <w:rFonts w:asciiTheme="minorHAnsi" w:eastAsiaTheme="minorEastAsia" w:hAnsiTheme="minorHAnsi" w:cstheme="minorHAnsi"/>
            <w:iCs w:val="0"/>
            <w:noProof/>
          </w:rPr>
          <w:tab/>
        </w:r>
        <w:r w:rsidR="002D1E7C" w:rsidRPr="002D1E7C">
          <w:rPr>
            <w:rStyle w:val="Hyperlink"/>
            <w:rFonts w:asciiTheme="minorHAnsi" w:hAnsiTheme="minorHAnsi" w:cstheme="minorHAnsi"/>
            <w:noProof/>
            <w:lang w:val="sr-Cyrl-BA"/>
          </w:rPr>
          <w:t>Energetska zajednica</w:t>
        </w:r>
        <w:r w:rsidR="002D1E7C" w:rsidRPr="002D1E7C">
          <w:rPr>
            <w:rFonts w:asciiTheme="minorHAnsi" w:hAnsiTheme="minorHAnsi" w:cstheme="minorHAnsi"/>
            <w:noProof/>
            <w:webHidden/>
          </w:rPr>
          <w:tab/>
        </w:r>
        <w:r w:rsidR="002D1E7C" w:rsidRPr="002D1E7C">
          <w:rPr>
            <w:rFonts w:asciiTheme="minorHAnsi" w:hAnsiTheme="minorHAnsi" w:cstheme="minorHAnsi"/>
            <w:noProof/>
            <w:webHidden/>
          </w:rPr>
          <w:fldChar w:fldCharType="begin"/>
        </w:r>
        <w:r w:rsidR="002D1E7C" w:rsidRPr="002D1E7C">
          <w:rPr>
            <w:rFonts w:asciiTheme="minorHAnsi" w:hAnsiTheme="minorHAnsi" w:cstheme="minorHAnsi"/>
            <w:noProof/>
            <w:webHidden/>
          </w:rPr>
          <w:instrText xml:space="preserve"> PAGEREF _Toc210301174 \h </w:instrText>
        </w:r>
        <w:r w:rsidR="002D1E7C" w:rsidRPr="002D1E7C">
          <w:rPr>
            <w:rFonts w:asciiTheme="minorHAnsi" w:hAnsiTheme="minorHAnsi" w:cstheme="minorHAnsi"/>
            <w:noProof/>
            <w:webHidden/>
          </w:rPr>
        </w:r>
        <w:r w:rsidR="002D1E7C" w:rsidRPr="002D1E7C">
          <w:rPr>
            <w:rFonts w:asciiTheme="minorHAnsi" w:hAnsiTheme="minorHAnsi" w:cstheme="minorHAnsi"/>
            <w:noProof/>
            <w:webHidden/>
          </w:rPr>
          <w:fldChar w:fldCharType="separate"/>
        </w:r>
        <w:r w:rsidR="002D1E7C">
          <w:rPr>
            <w:rFonts w:asciiTheme="minorHAnsi" w:hAnsiTheme="minorHAnsi" w:cstheme="minorHAnsi"/>
            <w:noProof/>
            <w:webHidden/>
          </w:rPr>
          <w:t>30</w:t>
        </w:r>
        <w:r w:rsidR="002D1E7C" w:rsidRPr="002D1E7C">
          <w:rPr>
            <w:rFonts w:asciiTheme="minorHAnsi" w:hAnsiTheme="minorHAnsi" w:cstheme="minorHAnsi"/>
            <w:noProof/>
            <w:webHidden/>
          </w:rPr>
          <w:fldChar w:fldCharType="end"/>
        </w:r>
      </w:hyperlink>
    </w:p>
    <w:p w:rsidR="002D1E7C" w:rsidRPr="002D1E7C" w:rsidRDefault="00DB6919">
      <w:pPr>
        <w:pStyle w:val="TOC3"/>
        <w:rPr>
          <w:rFonts w:asciiTheme="minorHAnsi" w:eastAsiaTheme="minorEastAsia" w:hAnsiTheme="minorHAnsi" w:cstheme="minorHAnsi"/>
          <w:iCs w:val="0"/>
          <w:noProof/>
        </w:rPr>
      </w:pPr>
      <w:hyperlink w:anchor="_Toc210301175" w:history="1">
        <w:r w:rsidR="002D1E7C" w:rsidRPr="002D1E7C">
          <w:rPr>
            <w:rStyle w:val="Hyperlink"/>
            <w:rFonts w:asciiTheme="minorHAnsi" w:hAnsiTheme="minorHAnsi" w:cstheme="minorHAnsi"/>
            <w:noProof/>
            <w:lang w:val="sr-Cyrl-BA"/>
          </w:rPr>
          <w:t>2.5.2.</w:t>
        </w:r>
        <w:r w:rsidR="002D1E7C" w:rsidRPr="002D1E7C">
          <w:rPr>
            <w:rFonts w:asciiTheme="minorHAnsi" w:eastAsiaTheme="minorEastAsia" w:hAnsiTheme="minorHAnsi" w:cstheme="minorHAnsi"/>
            <w:iCs w:val="0"/>
            <w:noProof/>
          </w:rPr>
          <w:tab/>
        </w:r>
        <w:r w:rsidR="002D1E7C" w:rsidRPr="002D1E7C">
          <w:rPr>
            <w:rStyle w:val="Hyperlink"/>
            <w:rFonts w:asciiTheme="minorHAnsi" w:hAnsiTheme="minorHAnsi" w:cstheme="minorHAnsi"/>
            <w:noProof/>
            <w:lang w:val="sr-Cyrl-BA"/>
          </w:rPr>
          <w:t>ERRA – Regionalno udruženje energetskih regulatornih tijela</w:t>
        </w:r>
        <w:r w:rsidR="002D1E7C" w:rsidRPr="002D1E7C">
          <w:rPr>
            <w:rFonts w:asciiTheme="minorHAnsi" w:hAnsiTheme="minorHAnsi" w:cstheme="minorHAnsi"/>
            <w:noProof/>
            <w:webHidden/>
          </w:rPr>
          <w:tab/>
        </w:r>
        <w:r w:rsidR="002D1E7C" w:rsidRPr="002D1E7C">
          <w:rPr>
            <w:rFonts w:asciiTheme="minorHAnsi" w:hAnsiTheme="minorHAnsi" w:cstheme="minorHAnsi"/>
            <w:noProof/>
            <w:webHidden/>
          </w:rPr>
          <w:fldChar w:fldCharType="begin"/>
        </w:r>
        <w:r w:rsidR="002D1E7C" w:rsidRPr="002D1E7C">
          <w:rPr>
            <w:rFonts w:asciiTheme="minorHAnsi" w:hAnsiTheme="minorHAnsi" w:cstheme="minorHAnsi"/>
            <w:noProof/>
            <w:webHidden/>
          </w:rPr>
          <w:instrText xml:space="preserve"> PAGEREF _Toc210301175 \h </w:instrText>
        </w:r>
        <w:r w:rsidR="002D1E7C" w:rsidRPr="002D1E7C">
          <w:rPr>
            <w:rFonts w:asciiTheme="minorHAnsi" w:hAnsiTheme="minorHAnsi" w:cstheme="minorHAnsi"/>
            <w:noProof/>
            <w:webHidden/>
          </w:rPr>
        </w:r>
        <w:r w:rsidR="002D1E7C" w:rsidRPr="002D1E7C">
          <w:rPr>
            <w:rFonts w:asciiTheme="minorHAnsi" w:hAnsiTheme="minorHAnsi" w:cstheme="minorHAnsi"/>
            <w:noProof/>
            <w:webHidden/>
          </w:rPr>
          <w:fldChar w:fldCharType="separate"/>
        </w:r>
        <w:r w:rsidR="002D1E7C">
          <w:rPr>
            <w:rFonts w:asciiTheme="minorHAnsi" w:hAnsiTheme="minorHAnsi" w:cstheme="minorHAnsi"/>
            <w:noProof/>
            <w:webHidden/>
          </w:rPr>
          <w:t>31</w:t>
        </w:r>
        <w:r w:rsidR="002D1E7C" w:rsidRPr="002D1E7C">
          <w:rPr>
            <w:rFonts w:asciiTheme="minorHAnsi" w:hAnsiTheme="minorHAnsi" w:cstheme="minorHAnsi"/>
            <w:noProof/>
            <w:webHidden/>
          </w:rPr>
          <w:fldChar w:fldCharType="end"/>
        </w:r>
      </w:hyperlink>
    </w:p>
    <w:p w:rsidR="002D1E7C" w:rsidRPr="002D1E7C" w:rsidRDefault="00DB6919">
      <w:pPr>
        <w:pStyle w:val="TOC3"/>
        <w:rPr>
          <w:rFonts w:asciiTheme="minorHAnsi" w:eastAsiaTheme="minorEastAsia" w:hAnsiTheme="minorHAnsi" w:cstheme="minorHAnsi"/>
          <w:iCs w:val="0"/>
          <w:noProof/>
        </w:rPr>
      </w:pPr>
      <w:hyperlink w:anchor="_Toc210301176" w:history="1">
        <w:r w:rsidR="002D1E7C" w:rsidRPr="002D1E7C">
          <w:rPr>
            <w:rStyle w:val="Hyperlink"/>
            <w:rFonts w:asciiTheme="minorHAnsi" w:hAnsiTheme="minorHAnsi" w:cstheme="minorHAnsi"/>
            <w:noProof/>
            <w:lang w:val="sr-Cyrl-BA"/>
          </w:rPr>
          <w:t>2.5.3.</w:t>
        </w:r>
        <w:r w:rsidR="002D1E7C" w:rsidRPr="002D1E7C">
          <w:rPr>
            <w:rFonts w:asciiTheme="minorHAnsi" w:eastAsiaTheme="minorEastAsia" w:hAnsiTheme="minorHAnsi" w:cstheme="minorHAnsi"/>
            <w:iCs w:val="0"/>
            <w:noProof/>
          </w:rPr>
          <w:tab/>
        </w:r>
        <w:r w:rsidR="002D1E7C" w:rsidRPr="002D1E7C">
          <w:rPr>
            <w:rStyle w:val="Hyperlink"/>
            <w:rFonts w:asciiTheme="minorHAnsi" w:hAnsiTheme="minorHAnsi" w:cstheme="minorHAnsi"/>
            <w:noProof/>
            <w:lang w:val="sr-Cyrl-BA"/>
          </w:rPr>
          <w:t>Saradnja sa Ministarstvom energetike i rudarstva Republike Srpske</w:t>
        </w:r>
        <w:r w:rsidR="002D1E7C" w:rsidRPr="002D1E7C">
          <w:rPr>
            <w:rFonts w:asciiTheme="minorHAnsi" w:hAnsiTheme="minorHAnsi" w:cstheme="minorHAnsi"/>
            <w:noProof/>
            <w:webHidden/>
          </w:rPr>
          <w:tab/>
        </w:r>
        <w:r w:rsidR="002D1E7C" w:rsidRPr="002D1E7C">
          <w:rPr>
            <w:rFonts w:asciiTheme="minorHAnsi" w:hAnsiTheme="minorHAnsi" w:cstheme="minorHAnsi"/>
            <w:noProof/>
            <w:webHidden/>
          </w:rPr>
          <w:fldChar w:fldCharType="begin"/>
        </w:r>
        <w:r w:rsidR="002D1E7C" w:rsidRPr="002D1E7C">
          <w:rPr>
            <w:rFonts w:asciiTheme="minorHAnsi" w:hAnsiTheme="minorHAnsi" w:cstheme="minorHAnsi"/>
            <w:noProof/>
            <w:webHidden/>
          </w:rPr>
          <w:instrText xml:space="preserve"> PAGEREF _Toc210301176 \h </w:instrText>
        </w:r>
        <w:r w:rsidR="002D1E7C" w:rsidRPr="002D1E7C">
          <w:rPr>
            <w:rFonts w:asciiTheme="minorHAnsi" w:hAnsiTheme="minorHAnsi" w:cstheme="minorHAnsi"/>
            <w:noProof/>
            <w:webHidden/>
          </w:rPr>
        </w:r>
        <w:r w:rsidR="002D1E7C" w:rsidRPr="002D1E7C">
          <w:rPr>
            <w:rFonts w:asciiTheme="minorHAnsi" w:hAnsiTheme="minorHAnsi" w:cstheme="minorHAnsi"/>
            <w:noProof/>
            <w:webHidden/>
          </w:rPr>
          <w:fldChar w:fldCharType="separate"/>
        </w:r>
        <w:r w:rsidR="002D1E7C">
          <w:rPr>
            <w:rFonts w:asciiTheme="minorHAnsi" w:hAnsiTheme="minorHAnsi" w:cstheme="minorHAnsi"/>
            <w:noProof/>
            <w:webHidden/>
          </w:rPr>
          <w:t>31</w:t>
        </w:r>
        <w:r w:rsidR="002D1E7C" w:rsidRPr="002D1E7C">
          <w:rPr>
            <w:rFonts w:asciiTheme="minorHAnsi" w:hAnsiTheme="minorHAnsi" w:cstheme="minorHAnsi"/>
            <w:noProof/>
            <w:webHidden/>
          </w:rPr>
          <w:fldChar w:fldCharType="end"/>
        </w:r>
      </w:hyperlink>
    </w:p>
    <w:p w:rsidR="002D1E7C" w:rsidRPr="002D1E7C" w:rsidRDefault="00DB6919">
      <w:pPr>
        <w:pStyle w:val="TOC3"/>
        <w:rPr>
          <w:rFonts w:asciiTheme="minorHAnsi" w:eastAsiaTheme="minorEastAsia" w:hAnsiTheme="minorHAnsi" w:cstheme="minorHAnsi"/>
          <w:iCs w:val="0"/>
          <w:noProof/>
        </w:rPr>
      </w:pPr>
      <w:hyperlink w:anchor="_Toc210301177" w:history="1">
        <w:r w:rsidR="002D1E7C" w:rsidRPr="002D1E7C">
          <w:rPr>
            <w:rStyle w:val="Hyperlink"/>
            <w:rFonts w:asciiTheme="minorHAnsi" w:hAnsiTheme="minorHAnsi" w:cstheme="minorHAnsi"/>
            <w:noProof/>
            <w:lang w:val="sr-Cyrl-BA"/>
          </w:rPr>
          <w:t>2.5.4.</w:t>
        </w:r>
        <w:r w:rsidR="002D1E7C" w:rsidRPr="002D1E7C">
          <w:rPr>
            <w:rFonts w:asciiTheme="minorHAnsi" w:eastAsiaTheme="minorEastAsia" w:hAnsiTheme="minorHAnsi" w:cstheme="minorHAnsi"/>
            <w:iCs w:val="0"/>
            <w:noProof/>
          </w:rPr>
          <w:tab/>
        </w:r>
        <w:r w:rsidR="002D1E7C" w:rsidRPr="002D1E7C">
          <w:rPr>
            <w:rStyle w:val="Hyperlink"/>
            <w:rFonts w:asciiTheme="minorHAnsi" w:hAnsiTheme="minorHAnsi" w:cstheme="minorHAnsi"/>
            <w:noProof/>
            <w:lang w:val="sr-Cyrl-BA"/>
          </w:rPr>
          <w:t>Saradnja sa drugim regulatornim komisijama</w:t>
        </w:r>
        <w:r w:rsidR="002D1E7C" w:rsidRPr="002D1E7C">
          <w:rPr>
            <w:rFonts w:asciiTheme="minorHAnsi" w:hAnsiTheme="minorHAnsi" w:cstheme="minorHAnsi"/>
            <w:noProof/>
            <w:webHidden/>
          </w:rPr>
          <w:tab/>
        </w:r>
        <w:r w:rsidR="002D1E7C" w:rsidRPr="002D1E7C">
          <w:rPr>
            <w:rFonts w:asciiTheme="minorHAnsi" w:hAnsiTheme="minorHAnsi" w:cstheme="minorHAnsi"/>
            <w:noProof/>
            <w:webHidden/>
          </w:rPr>
          <w:fldChar w:fldCharType="begin"/>
        </w:r>
        <w:r w:rsidR="002D1E7C" w:rsidRPr="002D1E7C">
          <w:rPr>
            <w:rFonts w:asciiTheme="minorHAnsi" w:hAnsiTheme="minorHAnsi" w:cstheme="minorHAnsi"/>
            <w:noProof/>
            <w:webHidden/>
          </w:rPr>
          <w:instrText xml:space="preserve"> PAGEREF _Toc210301177 \h </w:instrText>
        </w:r>
        <w:r w:rsidR="002D1E7C" w:rsidRPr="002D1E7C">
          <w:rPr>
            <w:rFonts w:asciiTheme="minorHAnsi" w:hAnsiTheme="minorHAnsi" w:cstheme="minorHAnsi"/>
            <w:noProof/>
            <w:webHidden/>
          </w:rPr>
        </w:r>
        <w:r w:rsidR="002D1E7C" w:rsidRPr="002D1E7C">
          <w:rPr>
            <w:rFonts w:asciiTheme="minorHAnsi" w:hAnsiTheme="minorHAnsi" w:cstheme="minorHAnsi"/>
            <w:noProof/>
            <w:webHidden/>
          </w:rPr>
          <w:fldChar w:fldCharType="separate"/>
        </w:r>
        <w:r w:rsidR="002D1E7C">
          <w:rPr>
            <w:rFonts w:asciiTheme="minorHAnsi" w:hAnsiTheme="minorHAnsi" w:cstheme="minorHAnsi"/>
            <w:noProof/>
            <w:webHidden/>
          </w:rPr>
          <w:t>32</w:t>
        </w:r>
        <w:r w:rsidR="002D1E7C" w:rsidRPr="002D1E7C">
          <w:rPr>
            <w:rFonts w:asciiTheme="minorHAnsi" w:hAnsiTheme="minorHAnsi" w:cstheme="minorHAnsi"/>
            <w:noProof/>
            <w:webHidden/>
          </w:rPr>
          <w:fldChar w:fldCharType="end"/>
        </w:r>
      </w:hyperlink>
    </w:p>
    <w:p w:rsidR="002D1E7C" w:rsidRPr="002D1E7C" w:rsidRDefault="00DB6919">
      <w:pPr>
        <w:pStyle w:val="TOC3"/>
        <w:rPr>
          <w:rFonts w:asciiTheme="minorHAnsi" w:eastAsiaTheme="minorEastAsia" w:hAnsiTheme="minorHAnsi" w:cstheme="minorHAnsi"/>
          <w:iCs w:val="0"/>
          <w:noProof/>
        </w:rPr>
      </w:pPr>
      <w:hyperlink w:anchor="_Toc210301178" w:history="1">
        <w:r w:rsidR="002D1E7C" w:rsidRPr="002D1E7C">
          <w:rPr>
            <w:rStyle w:val="Hyperlink"/>
            <w:rFonts w:asciiTheme="minorHAnsi" w:hAnsiTheme="minorHAnsi" w:cstheme="minorHAnsi"/>
            <w:noProof/>
            <w:lang w:val="sr-Cyrl-BA"/>
          </w:rPr>
          <w:t>2.5.5.</w:t>
        </w:r>
        <w:r w:rsidR="002D1E7C" w:rsidRPr="002D1E7C">
          <w:rPr>
            <w:rFonts w:asciiTheme="minorHAnsi" w:eastAsiaTheme="minorEastAsia" w:hAnsiTheme="minorHAnsi" w:cstheme="minorHAnsi"/>
            <w:iCs w:val="0"/>
            <w:noProof/>
          </w:rPr>
          <w:tab/>
        </w:r>
        <w:r w:rsidR="002D1E7C" w:rsidRPr="002D1E7C">
          <w:rPr>
            <w:rStyle w:val="Hyperlink"/>
            <w:rFonts w:asciiTheme="minorHAnsi" w:hAnsiTheme="minorHAnsi" w:cstheme="minorHAnsi"/>
            <w:noProof/>
            <w:lang w:val="sr-Cyrl-BA"/>
          </w:rPr>
          <w:t>Saradnja sa ostalim institucijama</w:t>
        </w:r>
        <w:r w:rsidR="002D1E7C" w:rsidRPr="002D1E7C">
          <w:rPr>
            <w:rFonts w:asciiTheme="minorHAnsi" w:hAnsiTheme="minorHAnsi" w:cstheme="minorHAnsi"/>
            <w:noProof/>
            <w:webHidden/>
          </w:rPr>
          <w:tab/>
        </w:r>
        <w:r w:rsidR="002D1E7C" w:rsidRPr="002D1E7C">
          <w:rPr>
            <w:rFonts w:asciiTheme="minorHAnsi" w:hAnsiTheme="minorHAnsi" w:cstheme="minorHAnsi"/>
            <w:noProof/>
            <w:webHidden/>
          </w:rPr>
          <w:fldChar w:fldCharType="begin"/>
        </w:r>
        <w:r w:rsidR="002D1E7C" w:rsidRPr="002D1E7C">
          <w:rPr>
            <w:rFonts w:asciiTheme="minorHAnsi" w:hAnsiTheme="minorHAnsi" w:cstheme="minorHAnsi"/>
            <w:noProof/>
            <w:webHidden/>
          </w:rPr>
          <w:instrText xml:space="preserve"> PAGEREF _Toc210301178 \h </w:instrText>
        </w:r>
        <w:r w:rsidR="002D1E7C" w:rsidRPr="002D1E7C">
          <w:rPr>
            <w:rFonts w:asciiTheme="minorHAnsi" w:hAnsiTheme="minorHAnsi" w:cstheme="minorHAnsi"/>
            <w:noProof/>
            <w:webHidden/>
          </w:rPr>
        </w:r>
        <w:r w:rsidR="002D1E7C" w:rsidRPr="002D1E7C">
          <w:rPr>
            <w:rFonts w:asciiTheme="minorHAnsi" w:hAnsiTheme="minorHAnsi" w:cstheme="minorHAnsi"/>
            <w:noProof/>
            <w:webHidden/>
          </w:rPr>
          <w:fldChar w:fldCharType="separate"/>
        </w:r>
        <w:r w:rsidR="002D1E7C">
          <w:rPr>
            <w:rFonts w:asciiTheme="minorHAnsi" w:hAnsiTheme="minorHAnsi" w:cstheme="minorHAnsi"/>
            <w:noProof/>
            <w:webHidden/>
          </w:rPr>
          <w:t>32</w:t>
        </w:r>
        <w:r w:rsidR="002D1E7C" w:rsidRPr="002D1E7C">
          <w:rPr>
            <w:rFonts w:asciiTheme="minorHAnsi" w:hAnsiTheme="minorHAnsi" w:cstheme="minorHAnsi"/>
            <w:noProof/>
            <w:webHidden/>
          </w:rPr>
          <w:fldChar w:fldCharType="end"/>
        </w:r>
      </w:hyperlink>
    </w:p>
    <w:p w:rsidR="002D1E7C" w:rsidRPr="002D1E7C" w:rsidRDefault="00DB6919">
      <w:pPr>
        <w:pStyle w:val="TOC3"/>
        <w:rPr>
          <w:rFonts w:asciiTheme="minorHAnsi" w:eastAsiaTheme="minorEastAsia" w:hAnsiTheme="minorHAnsi" w:cstheme="minorHAnsi"/>
          <w:iCs w:val="0"/>
          <w:noProof/>
        </w:rPr>
      </w:pPr>
      <w:hyperlink w:anchor="_Toc210301179" w:history="1">
        <w:r w:rsidR="002D1E7C" w:rsidRPr="002D1E7C">
          <w:rPr>
            <w:rStyle w:val="Hyperlink"/>
            <w:rFonts w:asciiTheme="minorHAnsi" w:hAnsiTheme="minorHAnsi" w:cstheme="minorHAnsi"/>
            <w:noProof/>
            <w:lang w:val="sr-Cyrl-BA"/>
          </w:rPr>
          <w:t>2.5.6.</w:t>
        </w:r>
        <w:r w:rsidR="002D1E7C" w:rsidRPr="002D1E7C">
          <w:rPr>
            <w:rFonts w:asciiTheme="minorHAnsi" w:eastAsiaTheme="minorEastAsia" w:hAnsiTheme="minorHAnsi" w:cstheme="minorHAnsi"/>
            <w:iCs w:val="0"/>
            <w:noProof/>
          </w:rPr>
          <w:tab/>
        </w:r>
        <w:r w:rsidR="002D1E7C" w:rsidRPr="002D1E7C">
          <w:rPr>
            <w:rStyle w:val="Hyperlink"/>
            <w:rFonts w:asciiTheme="minorHAnsi" w:hAnsiTheme="minorHAnsi" w:cstheme="minorHAnsi"/>
            <w:noProof/>
            <w:lang w:val="sr-Cyrl-BA"/>
          </w:rPr>
          <w:t>Učešće u radu konferencija, seminara i drugih stručnih skupova</w:t>
        </w:r>
        <w:r w:rsidR="002D1E7C" w:rsidRPr="002D1E7C">
          <w:rPr>
            <w:rFonts w:asciiTheme="minorHAnsi" w:hAnsiTheme="minorHAnsi" w:cstheme="minorHAnsi"/>
            <w:noProof/>
            <w:webHidden/>
          </w:rPr>
          <w:tab/>
        </w:r>
        <w:r w:rsidR="002D1E7C" w:rsidRPr="002D1E7C">
          <w:rPr>
            <w:rFonts w:asciiTheme="minorHAnsi" w:hAnsiTheme="minorHAnsi" w:cstheme="minorHAnsi"/>
            <w:noProof/>
            <w:webHidden/>
          </w:rPr>
          <w:fldChar w:fldCharType="begin"/>
        </w:r>
        <w:r w:rsidR="002D1E7C" w:rsidRPr="002D1E7C">
          <w:rPr>
            <w:rFonts w:asciiTheme="minorHAnsi" w:hAnsiTheme="minorHAnsi" w:cstheme="minorHAnsi"/>
            <w:noProof/>
            <w:webHidden/>
          </w:rPr>
          <w:instrText xml:space="preserve"> PAGEREF _Toc210301179 \h </w:instrText>
        </w:r>
        <w:r w:rsidR="002D1E7C" w:rsidRPr="002D1E7C">
          <w:rPr>
            <w:rFonts w:asciiTheme="minorHAnsi" w:hAnsiTheme="minorHAnsi" w:cstheme="minorHAnsi"/>
            <w:noProof/>
            <w:webHidden/>
          </w:rPr>
        </w:r>
        <w:r w:rsidR="002D1E7C" w:rsidRPr="002D1E7C">
          <w:rPr>
            <w:rFonts w:asciiTheme="minorHAnsi" w:hAnsiTheme="minorHAnsi" w:cstheme="minorHAnsi"/>
            <w:noProof/>
            <w:webHidden/>
          </w:rPr>
          <w:fldChar w:fldCharType="separate"/>
        </w:r>
        <w:r w:rsidR="002D1E7C">
          <w:rPr>
            <w:rFonts w:asciiTheme="minorHAnsi" w:hAnsiTheme="minorHAnsi" w:cstheme="minorHAnsi"/>
            <w:noProof/>
            <w:webHidden/>
          </w:rPr>
          <w:t>33</w:t>
        </w:r>
        <w:r w:rsidR="002D1E7C" w:rsidRPr="002D1E7C">
          <w:rPr>
            <w:rFonts w:asciiTheme="minorHAnsi" w:hAnsiTheme="minorHAnsi" w:cstheme="minorHAnsi"/>
            <w:noProof/>
            <w:webHidden/>
          </w:rPr>
          <w:fldChar w:fldCharType="end"/>
        </w:r>
      </w:hyperlink>
    </w:p>
    <w:p w:rsidR="002D1E7C" w:rsidRPr="002D1E7C" w:rsidRDefault="00DB6919">
      <w:pPr>
        <w:pStyle w:val="TOC3"/>
        <w:rPr>
          <w:rFonts w:asciiTheme="minorHAnsi" w:eastAsiaTheme="minorEastAsia" w:hAnsiTheme="minorHAnsi" w:cstheme="minorHAnsi"/>
          <w:iCs w:val="0"/>
          <w:noProof/>
        </w:rPr>
      </w:pPr>
      <w:hyperlink w:anchor="_Toc210301180" w:history="1">
        <w:r w:rsidR="002D1E7C" w:rsidRPr="002D1E7C">
          <w:rPr>
            <w:rStyle w:val="Hyperlink"/>
            <w:rFonts w:asciiTheme="minorHAnsi" w:hAnsiTheme="minorHAnsi" w:cstheme="minorHAnsi"/>
            <w:noProof/>
            <w:lang w:val="sr-Cyrl-BA"/>
          </w:rPr>
          <w:t>3.</w:t>
        </w:r>
        <w:r w:rsidR="002D1E7C" w:rsidRPr="002D1E7C">
          <w:rPr>
            <w:rFonts w:asciiTheme="minorHAnsi" w:eastAsiaTheme="minorEastAsia" w:hAnsiTheme="minorHAnsi" w:cstheme="minorHAnsi"/>
            <w:iCs w:val="0"/>
            <w:noProof/>
          </w:rPr>
          <w:tab/>
        </w:r>
        <w:r w:rsidR="002D1E7C" w:rsidRPr="002D1E7C">
          <w:rPr>
            <w:rStyle w:val="Hyperlink"/>
            <w:rFonts w:asciiTheme="minorHAnsi" w:hAnsiTheme="minorHAnsi" w:cstheme="minorHAnsi"/>
            <w:noProof/>
            <w:lang w:val="sr-Cyrl-BA"/>
          </w:rPr>
          <w:t>Zaposleni, organizacija i javnost rada</w:t>
        </w:r>
        <w:r w:rsidR="002D1E7C" w:rsidRPr="002D1E7C">
          <w:rPr>
            <w:rFonts w:asciiTheme="minorHAnsi" w:hAnsiTheme="minorHAnsi" w:cstheme="minorHAnsi"/>
            <w:noProof/>
            <w:webHidden/>
          </w:rPr>
          <w:tab/>
        </w:r>
        <w:r w:rsidR="002D1E7C" w:rsidRPr="002D1E7C">
          <w:rPr>
            <w:rFonts w:asciiTheme="minorHAnsi" w:hAnsiTheme="minorHAnsi" w:cstheme="minorHAnsi"/>
            <w:noProof/>
            <w:webHidden/>
          </w:rPr>
          <w:fldChar w:fldCharType="begin"/>
        </w:r>
        <w:r w:rsidR="002D1E7C" w:rsidRPr="002D1E7C">
          <w:rPr>
            <w:rFonts w:asciiTheme="minorHAnsi" w:hAnsiTheme="minorHAnsi" w:cstheme="minorHAnsi"/>
            <w:noProof/>
            <w:webHidden/>
          </w:rPr>
          <w:instrText xml:space="preserve"> PAGEREF _Toc210301180 \h </w:instrText>
        </w:r>
        <w:r w:rsidR="002D1E7C" w:rsidRPr="002D1E7C">
          <w:rPr>
            <w:rFonts w:asciiTheme="minorHAnsi" w:hAnsiTheme="minorHAnsi" w:cstheme="minorHAnsi"/>
            <w:noProof/>
            <w:webHidden/>
          </w:rPr>
        </w:r>
        <w:r w:rsidR="002D1E7C" w:rsidRPr="002D1E7C">
          <w:rPr>
            <w:rFonts w:asciiTheme="minorHAnsi" w:hAnsiTheme="minorHAnsi" w:cstheme="minorHAnsi"/>
            <w:noProof/>
            <w:webHidden/>
          </w:rPr>
          <w:fldChar w:fldCharType="separate"/>
        </w:r>
        <w:r w:rsidR="002D1E7C">
          <w:rPr>
            <w:rFonts w:asciiTheme="minorHAnsi" w:hAnsiTheme="minorHAnsi" w:cstheme="minorHAnsi"/>
            <w:noProof/>
            <w:webHidden/>
          </w:rPr>
          <w:t>33</w:t>
        </w:r>
        <w:r w:rsidR="002D1E7C" w:rsidRPr="002D1E7C">
          <w:rPr>
            <w:rFonts w:asciiTheme="minorHAnsi" w:hAnsiTheme="minorHAnsi" w:cstheme="minorHAnsi"/>
            <w:noProof/>
            <w:webHidden/>
          </w:rPr>
          <w:fldChar w:fldCharType="end"/>
        </w:r>
      </w:hyperlink>
    </w:p>
    <w:p w:rsidR="002D1E7C" w:rsidRPr="002D1E7C" w:rsidRDefault="00DB6919">
      <w:pPr>
        <w:pStyle w:val="TOC2"/>
        <w:tabs>
          <w:tab w:val="left" w:pos="851"/>
          <w:tab w:val="right" w:leader="dot" w:pos="9062"/>
        </w:tabs>
        <w:rPr>
          <w:rFonts w:asciiTheme="minorHAnsi" w:eastAsiaTheme="minorEastAsia" w:hAnsiTheme="minorHAnsi" w:cstheme="minorHAnsi"/>
          <w:smallCaps w:val="0"/>
          <w:noProof/>
          <w:sz w:val="22"/>
          <w:szCs w:val="22"/>
        </w:rPr>
      </w:pPr>
      <w:hyperlink w:anchor="_Toc210301181" w:history="1">
        <w:r w:rsidR="002D1E7C" w:rsidRPr="002D1E7C">
          <w:rPr>
            <w:rStyle w:val="Hyperlink"/>
            <w:rFonts w:asciiTheme="minorHAnsi" w:hAnsiTheme="minorHAnsi" w:cstheme="minorHAnsi"/>
            <w:noProof/>
            <w:sz w:val="22"/>
            <w:szCs w:val="22"/>
            <w:lang w:val="sr-Cyrl-BA"/>
          </w:rPr>
          <w:t>3.1.</w:t>
        </w:r>
        <w:r w:rsidR="002D1E7C" w:rsidRPr="002D1E7C">
          <w:rPr>
            <w:rFonts w:asciiTheme="minorHAnsi" w:eastAsiaTheme="minorEastAsia" w:hAnsiTheme="minorHAnsi" w:cstheme="minorHAnsi"/>
            <w:smallCaps w:val="0"/>
            <w:noProof/>
            <w:sz w:val="22"/>
            <w:szCs w:val="22"/>
          </w:rPr>
          <w:tab/>
        </w:r>
        <w:r w:rsidR="002D1E7C" w:rsidRPr="002D1E7C">
          <w:rPr>
            <w:rStyle w:val="Hyperlink"/>
            <w:rFonts w:asciiTheme="minorHAnsi" w:hAnsiTheme="minorHAnsi" w:cstheme="minorHAnsi"/>
            <w:noProof/>
            <w:sz w:val="22"/>
            <w:szCs w:val="22"/>
            <w:lang w:val="sr-Cyrl-BA"/>
          </w:rPr>
          <w:t>Zaposleni i organizacija rada u Regulatornoj komisiji</w:t>
        </w:r>
        <w:r w:rsidR="002D1E7C" w:rsidRPr="002D1E7C">
          <w:rPr>
            <w:rFonts w:asciiTheme="minorHAnsi" w:hAnsiTheme="minorHAnsi" w:cstheme="minorHAnsi"/>
            <w:noProof/>
            <w:webHidden/>
            <w:sz w:val="22"/>
            <w:szCs w:val="22"/>
          </w:rPr>
          <w:tab/>
        </w:r>
        <w:r w:rsidR="002D1E7C" w:rsidRPr="002D1E7C">
          <w:rPr>
            <w:rFonts w:asciiTheme="minorHAnsi" w:hAnsiTheme="minorHAnsi" w:cstheme="minorHAnsi"/>
            <w:noProof/>
            <w:webHidden/>
            <w:sz w:val="22"/>
            <w:szCs w:val="22"/>
          </w:rPr>
          <w:fldChar w:fldCharType="begin"/>
        </w:r>
        <w:r w:rsidR="002D1E7C" w:rsidRPr="002D1E7C">
          <w:rPr>
            <w:rFonts w:asciiTheme="minorHAnsi" w:hAnsiTheme="minorHAnsi" w:cstheme="minorHAnsi"/>
            <w:noProof/>
            <w:webHidden/>
            <w:sz w:val="22"/>
            <w:szCs w:val="22"/>
          </w:rPr>
          <w:instrText xml:space="preserve"> PAGEREF _Toc210301181 \h </w:instrText>
        </w:r>
        <w:r w:rsidR="002D1E7C" w:rsidRPr="002D1E7C">
          <w:rPr>
            <w:rFonts w:asciiTheme="minorHAnsi" w:hAnsiTheme="minorHAnsi" w:cstheme="minorHAnsi"/>
            <w:noProof/>
            <w:webHidden/>
            <w:sz w:val="22"/>
            <w:szCs w:val="22"/>
          </w:rPr>
        </w:r>
        <w:r w:rsidR="002D1E7C" w:rsidRPr="002D1E7C">
          <w:rPr>
            <w:rFonts w:asciiTheme="minorHAnsi" w:hAnsiTheme="minorHAnsi" w:cstheme="minorHAnsi"/>
            <w:noProof/>
            <w:webHidden/>
            <w:sz w:val="22"/>
            <w:szCs w:val="22"/>
          </w:rPr>
          <w:fldChar w:fldCharType="separate"/>
        </w:r>
        <w:r w:rsidR="002D1E7C">
          <w:rPr>
            <w:rFonts w:asciiTheme="minorHAnsi" w:hAnsiTheme="minorHAnsi" w:cstheme="minorHAnsi"/>
            <w:noProof/>
            <w:webHidden/>
            <w:sz w:val="22"/>
            <w:szCs w:val="22"/>
          </w:rPr>
          <w:t>33</w:t>
        </w:r>
        <w:r w:rsidR="002D1E7C" w:rsidRPr="002D1E7C">
          <w:rPr>
            <w:rFonts w:asciiTheme="minorHAnsi" w:hAnsiTheme="minorHAnsi" w:cstheme="minorHAnsi"/>
            <w:noProof/>
            <w:webHidden/>
            <w:sz w:val="22"/>
            <w:szCs w:val="22"/>
          </w:rPr>
          <w:fldChar w:fldCharType="end"/>
        </w:r>
      </w:hyperlink>
    </w:p>
    <w:p w:rsidR="002D1E7C" w:rsidRPr="002D1E7C" w:rsidRDefault="00DB6919">
      <w:pPr>
        <w:pStyle w:val="TOC2"/>
        <w:tabs>
          <w:tab w:val="left" w:pos="851"/>
          <w:tab w:val="right" w:leader="dot" w:pos="9062"/>
        </w:tabs>
        <w:rPr>
          <w:rFonts w:asciiTheme="minorHAnsi" w:eastAsiaTheme="minorEastAsia" w:hAnsiTheme="minorHAnsi" w:cstheme="minorHAnsi"/>
          <w:smallCaps w:val="0"/>
          <w:noProof/>
          <w:sz w:val="22"/>
          <w:szCs w:val="22"/>
        </w:rPr>
      </w:pPr>
      <w:hyperlink w:anchor="_Toc210301182" w:history="1">
        <w:r w:rsidR="002D1E7C" w:rsidRPr="002D1E7C">
          <w:rPr>
            <w:rStyle w:val="Hyperlink"/>
            <w:rFonts w:asciiTheme="minorHAnsi" w:hAnsiTheme="minorHAnsi" w:cstheme="minorHAnsi"/>
            <w:noProof/>
            <w:sz w:val="22"/>
            <w:szCs w:val="22"/>
            <w:lang w:val="sr-Cyrl-BA"/>
          </w:rPr>
          <w:t>3.2.</w:t>
        </w:r>
        <w:r w:rsidR="002D1E7C" w:rsidRPr="002D1E7C">
          <w:rPr>
            <w:rFonts w:asciiTheme="minorHAnsi" w:eastAsiaTheme="minorEastAsia" w:hAnsiTheme="minorHAnsi" w:cstheme="minorHAnsi"/>
            <w:smallCaps w:val="0"/>
            <w:noProof/>
            <w:sz w:val="22"/>
            <w:szCs w:val="22"/>
          </w:rPr>
          <w:tab/>
        </w:r>
        <w:r w:rsidR="002D1E7C" w:rsidRPr="002D1E7C">
          <w:rPr>
            <w:rStyle w:val="Hyperlink"/>
            <w:rFonts w:asciiTheme="minorHAnsi" w:hAnsiTheme="minorHAnsi" w:cstheme="minorHAnsi"/>
            <w:noProof/>
            <w:sz w:val="22"/>
            <w:szCs w:val="22"/>
            <w:lang w:val="sr-Cyrl-BA"/>
          </w:rPr>
          <w:t>Javnost rada Regulatorne komisije</w:t>
        </w:r>
        <w:r w:rsidR="002D1E7C" w:rsidRPr="002D1E7C">
          <w:rPr>
            <w:rFonts w:asciiTheme="minorHAnsi" w:hAnsiTheme="minorHAnsi" w:cstheme="minorHAnsi"/>
            <w:noProof/>
            <w:webHidden/>
            <w:sz w:val="22"/>
            <w:szCs w:val="22"/>
          </w:rPr>
          <w:tab/>
        </w:r>
        <w:r w:rsidR="002D1E7C" w:rsidRPr="002D1E7C">
          <w:rPr>
            <w:rFonts w:asciiTheme="minorHAnsi" w:hAnsiTheme="minorHAnsi" w:cstheme="minorHAnsi"/>
            <w:noProof/>
            <w:webHidden/>
            <w:sz w:val="22"/>
            <w:szCs w:val="22"/>
          </w:rPr>
          <w:fldChar w:fldCharType="begin"/>
        </w:r>
        <w:r w:rsidR="002D1E7C" w:rsidRPr="002D1E7C">
          <w:rPr>
            <w:rFonts w:asciiTheme="minorHAnsi" w:hAnsiTheme="minorHAnsi" w:cstheme="minorHAnsi"/>
            <w:noProof/>
            <w:webHidden/>
            <w:sz w:val="22"/>
            <w:szCs w:val="22"/>
          </w:rPr>
          <w:instrText xml:space="preserve"> PAGEREF _Toc210301182 \h </w:instrText>
        </w:r>
        <w:r w:rsidR="002D1E7C" w:rsidRPr="002D1E7C">
          <w:rPr>
            <w:rFonts w:asciiTheme="minorHAnsi" w:hAnsiTheme="minorHAnsi" w:cstheme="minorHAnsi"/>
            <w:noProof/>
            <w:webHidden/>
            <w:sz w:val="22"/>
            <w:szCs w:val="22"/>
          </w:rPr>
        </w:r>
        <w:r w:rsidR="002D1E7C" w:rsidRPr="002D1E7C">
          <w:rPr>
            <w:rFonts w:asciiTheme="minorHAnsi" w:hAnsiTheme="minorHAnsi" w:cstheme="minorHAnsi"/>
            <w:noProof/>
            <w:webHidden/>
            <w:sz w:val="22"/>
            <w:szCs w:val="22"/>
          </w:rPr>
          <w:fldChar w:fldCharType="separate"/>
        </w:r>
        <w:r w:rsidR="002D1E7C">
          <w:rPr>
            <w:rFonts w:asciiTheme="minorHAnsi" w:hAnsiTheme="minorHAnsi" w:cstheme="minorHAnsi"/>
            <w:noProof/>
            <w:webHidden/>
            <w:sz w:val="22"/>
            <w:szCs w:val="22"/>
          </w:rPr>
          <w:t>33</w:t>
        </w:r>
        <w:r w:rsidR="002D1E7C" w:rsidRPr="002D1E7C">
          <w:rPr>
            <w:rFonts w:asciiTheme="minorHAnsi" w:hAnsiTheme="minorHAnsi" w:cstheme="minorHAnsi"/>
            <w:noProof/>
            <w:webHidden/>
            <w:sz w:val="22"/>
            <w:szCs w:val="22"/>
          </w:rPr>
          <w:fldChar w:fldCharType="end"/>
        </w:r>
      </w:hyperlink>
    </w:p>
    <w:p w:rsidR="002D1E7C" w:rsidRPr="002D1E7C" w:rsidRDefault="00DB6919">
      <w:pPr>
        <w:pStyle w:val="TOC1"/>
        <w:rPr>
          <w:rFonts w:asciiTheme="minorHAnsi" w:eastAsiaTheme="minorEastAsia" w:hAnsiTheme="minorHAnsi" w:cstheme="minorHAnsi"/>
          <w:b w:val="0"/>
          <w:bCs w:val="0"/>
          <w:caps w:val="0"/>
          <w:noProof/>
          <w:sz w:val="22"/>
          <w:szCs w:val="22"/>
        </w:rPr>
      </w:pPr>
      <w:hyperlink w:anchor="_Toc210301183" w:history="1">
        <w:r w:rsidR="002D1E7C" w:rsidRPr="002D1E7C">
          <w:rPr>
            <w:rStyle w:val="Hyperlink"/>
            <w:rFonts w:asciiTheme="minorHAnsi" w:hAnsiTheme="minorHAnsi" w:cstheme="minorHAnsi"/>
            <w:noProof/>
            <w:sz w:val="22"/>
            <w:szCs w:val="22"/>
            <w:lang w:val="sr-Cyrl-BA"/>
          </w:rPr>
          <w:t>4.</w:t>
        </w:r>
        <w:r w:rsidR="002D1E7C" w:rsidRPr="002D1E7C">
          <w:rPr>
            <w:rFonts w:asciiTheme="minorHAnsi" w:eastAsiaTheme="minorEastAsia" w:hAnsiTheme="minorHAnsi" w:cstheme="minorHAnsi"/>
            <w:b w:val="0"/>
            <w:bCs w:val="0"/>
            <w:caps w:val="0"/>
            <w:noProof/>
            <w:sz w:val="22"/>
            <w:szCs w:val="22"/>
          </w:rPr>
          <w:tab/>
        </w:r>
        <w:r w:rsidR="002D1E7C" w:rsidRPr="002D1E7C">
          <w:rPr>
            <w:rStyle w:val="Hyperlink"/>
            <w:rFonts w:asciiTheme="minorHAnsi" w:hAnsiTheme="minorHAnsi" w:cstheme="minorHAnsi"/>
            <w:noProof/>
            <w:sz w:val="22"/>
            <w:szCs w:val="22"/>
            <w:lang w:val="sr-Cyrl-BA"/>
          </w:rPr>
          <w:t>Finansiranje Regulatorne komisije</w:t>
        </w:r>
        <w:r w:rsidR="002D1E7C" w:rsidRPr="002D1E7C">
          <w:rPr>
            <w:rFonts w:asciiTheme="minorHAnsi" w:hAnsiTheme="minorHAnsi" w:cstheme="minorHAnsi"/>
            <w:noProof/>
            <w:webHidden/>
            <w:sz w:val="22"/>
            <w:szCs w:val="22"/>
          </w:rPr>
          <w:tab/>
        </w:r>
        <w:r w:rsidR="002D1E7C" w:rsidRPr="002D1E7C">
          <w:rPr>
            <w:rFonts w:asciiTheme="minorHAnsi" w:hAnsiTheme="minorHAnsi" w:cstheme="minorHAnsi"/>
            <w:noProof/>
            <w:webHidden/>
            <w:sz w:val="22"/>
            <w:szCs w:val="22"/>
          </w:rPr>
          <w:fldChar w:fldCharType="begin"/>
        </w:r>
        <w:r w:rsidR="002D1E7C" w:rsidRPr="002D1E7C">
          <w:rPr>
            <w:rFonts w:asciiTheme="minorHAnsi" w:hAnsiTheme="minorHAnsi" w:cstheme="minorHAnsi"/>
            <w:noProof/>
            <w:webHidden/>
            <w:sz w:val="22"/>
            <w:szCs w:val="22"/>
          </w:rPr>
          <w:instrText xml:space="preserve"> PAGEREF _Toc210301183 \h </w:instrText>
        </w:r>
        <w:r w:rsidR="002D1E7C" w:rsidRPr="002D1E7C">
          <w:rPr>
            <w:rFonts w:asciiTheme="minorHAnsi" w:hAnsiTheme="minorHAnsi" w:cstheme="minorHAnsi"/>
            <w:noProof/>
            <w:webHidden/>
            <w:sz w:val="22"/>
            <w:szCs w:val="22"/>
          </w:rPr>
        </w:r>
        <w:r w:rsidR="002D1E7C" w:rsidRPr="002D1E7C">
          <w:rPr>
            <w:rFonts w:asciiTheme="minorHAnsi" w:hAnsiTheme="minorHAnsi" w:cstheme="minorHAnsi"/>
            <w:noProof/>
            <w:webHidden/>
            <w:sz w:val="22"/>
            <w:szCs w:val="22"/>
          </w:rPr>
          <w:fldChar w:fldCharType="separate"/>
        </w:r>
        <w:r w:rsidR="002D1E7C">
          <w:rPr>
            <w:rFonts w:asciiTheme="minorHAnsi" w:hAnsiTheme="minorHAnsi" w:cstheme="minorHAnsi"/>
            <w:noProof/>
            <w:webHidden/>
            <w:sz w:val="22"/>
            <w:szCs w:val="22"/>
          </w:rPr>
          <w:t>34</w:t>
        </w:r>
        <w:r w:rsidR="002D1E7C" w:rsidRPr="002D1E7C">
          <w:rPr>
            <w:rFonts w:asciiTheme="minorHAnsi" w:hAnsiTheme="minorHAnsi" w:cstheme="minorHAnsi"/>
            <w:noProof/>
            <w:webHidden/>
            <w:sz w:val="22"/>
            <w:szCs w:val="22"/>
          </w:rPr>
          <w:fldChar w:fldCharType="end"/>
        </w:r>
      </w:hyperlink>
    </w:p>
    <w:p w:rsidR="002D1E7C" w:rsidRPr="002D1E7C" w:rsidRDefault="00DB6919">
      <w:pPr>
        <w:pStyle w:val="TOC2"/>
        <w:tabs>
          <w:tab w:val="left" w:pos="851"/>
          <w:tab w:val="right" w:leader="dot" w:pos="9062"/>
        </w:tabs>
        <w:rPr>
          <w:rFonts w:asciiTheme="minorHAnsi" w:eastAsiaTheme="minorEastAsia" w:hAnsiTheme="minorHAnsi" w:cstheme="minorHAnsi"/>
          <w:smallCaps w:val="0"/>
          <w:noProof/>
          <w:sz w:val="22"/>
          <w:szCs w:val="22"/>
        </w:rPr>
      </w:pPr>
      <w:hyperlink w:anchor="_Toc210301184" w:history="1">
        <w:r w:rsidR="002D1E7C" w:rsidRPr="002D1E7C">
          <w:rPr>
            <w:rStyle w:val="Hyperlink"/>
            <w:rFonts w:asciiTheme="minorHAnsi" w:hAnsiTheme="minorHAnsi" w:cstheme="minorHAnsi"/>
            <w:b/>
            <w:bCs/>
            <w:iCs/>
            <w:noProof/>
            <w:sz w:val="22"/>
            <w:szCs w:val="22"/>
            <w:lang w:val="sr-Cyrl-BA"/>
          </w:rPr>
          <w:t>4.1</w:t>
        </w:r>
        <w:r w:rsidR="002D1E7C" w:rsidRPr="002D1E7C">
          <w:rPr>
            <w:rFonts w:asciiTheme="minorHAnsi" w:eastAsiaTheme="minorEastAsia" w:hAnsiTheme="minorHAnsi" w:cstheme="minorHAnsi"/>
            <w:smallCaps w:val="0"/>
            <w:noProof/>
            <w:sz w:val="22"/>
            <w:szCs w:val="22"/>
          </w:rPr>
          <w:tab/>
        </w:r>
        <w:r w:rsidR="002D1E7C" w:rsidRPr="002D1E7C">
          <w:rPr>
            <w:rStyle w:val="Hyperlink"/>
            <w:rFonts w:asciiTheme="minorHAnsi" w:hAnsiTheme="minorHAnsi" w:cstheme="minorHAnsi"/>
            <w:b/>
            <w:bCs/>
            <w:iCs/>
            <w:noProof/>
            <w:sz w:val="22"/>
            <w:szCs w:val="22"/>
            <w:lang w:val="sr-Cyrl-BA"/>
          </w:rPr>
          <w:t>Finansiranje</w:t>
        </w:r>
        <w:r w:rsidR="002D1E7C" w:rsidRPr="002D1E7C">
          <w:rPr>
            <w:rFonts w:asciiTheme="minorHAnsi" w:hAnsiTheme="minorHAnsi" w:cstheme="minorHAnsi"/>
            <w:noProof/>
            <w:webHidden/>
            <w:sz w:val="22"/>
            <w:szCs w:val="22"/>
          </w:rPr>
          <w:tab/>
        </w:r>
        <w:r w:rsidR="002D1E7C" w:rsidRPr="002D1E7C">
          <w:rPr>
            <w:rFonts w:asciiTheme="minorHAnsi" w:hAnsiTheme="minorHAnsi" w:cstheme="minorHAnsi"/>
            <w:noProof/>
            <w:webHidden/>
            <w:sz w:val="22"/>
            <w:szCs w:val="22"/>
          </w:rPr>
          <w:fldChar w:fldCharType="begin"/>
        </w:r>
        <w:r w:rsidR="002D1E7C" w:rsidRPr="002D1E7C">
          <w:rPr>
            <w:rFonts w:asciiTheme="minorHAnsi" w:hAnsiTheme="minorHAnsi" w:cstheme="minorHAnsi"/>
            <w:noProof/>
            <w:webHidden/>
            <w:sz w:val="22"/>
            <w:szCs w:val="22"/>
          </w:rPr>
          <w:instrText xml:space="preserve"> PAGEREF _Toc210301184 \h </w:instrText>
        </w:r>
        <w:r w:rsidR="002D1E7C" w:rsidRPr="002D1E7C">
          <w:rPr>
            <w:rFonts w:asciiTheme="minorHAnsi" w:hAnsiTheme="minorHAnsi" w:cstheme="minorHAnsi"/>
            <w:noProof/>
            <w:webHidden/>
            <w:sz w:val="22"/>
            <w:szCs w:val="22"/>
          </w:rPr>
        </w:r>
        <w:r w:rsidR="002D1E7C" w:rsidRPr="002D1E7C">
          <w:rPr>
            <w:rFonts w:asciiTheme="minorHAnsi" w:hAnsiTheme="minorHAnsi" w:cstheme="minorHAnsi"/>
            <w:noProof/>
            <w:webHidden/>
            <w:sz w:val="22"/>
            <w:szCs w:val="22"/>
          </w:rPr>
          <w:fldChar w:fldCharType="separate"/>
        </w:r>
        <w:r w:rsidR="002D1E7C">
          <w:rPr>
            <w:rFonts w:asciiTheme="minorHAnsi" w:hAnsiTheme="minorHAnsi" w:cstheme="minorHAnsi"/>
            <w:noProof/>
            <w:webHidden/>
            <w:sz w:val="22"/>
            <w:szCs w:val="22"/>
          </w:rPr>
          <w:t>34</w:t>
        </w:r>
        <w:r w:rsidR="002D1E7C" w:rsidRPr="002D1E7C">
          <w:rPr>
            <w:rFonts w:asciiTheme="minorHAnsi" w:hAnsiTheme="minorHAnsi" w:cstheme="minorHAnsi"/>
            <w:noProof/>
            <w:webHidden/>
            <w:sz w:val="22"/>
            <w:szCs w:val="22"/>
          </w:rPr>
          <w:fldChar w:fldCharType="end"/>
        </w:r>
      </w:hyperlink>
    </w:p>
    <w:p w:rsidR="002D1E7C" w:rsidRPr="002D1E7C" w:rsidRDefault="00DB6919">
      <w:pPr>
        <w:pStyle w:val="TOC2"/>
        <w:tabs>
          <w:tab w:val="left" w:pos="851"/>
          <w:tab w:val="right" w:leader="dot" w:pos="9062"/>
        </w:tabs>
        <w:rPr>
          <w:rFonts w:asciiTheme="minorHAnsi" w:eastAsiaTheme="minorEastAsia" w:hAnsiTheme="minorHAnsi" w:cstheme="minorHAnsi"/>
          <w:smallCaps w:val="0"/>
          <w:noProof/>
          <w:sz w:val="22"/>
          <w:szCs w:val="22"/>
        </w:rPr>
      </w:pPr>
      <w:hyperlink w:anchor="_Toc210301185" w:history="1">
        <w:r w:rsidR="002D1E7C" w:rsidRPr="002D1E7C">
          <w:rPr>
            <w:rStyle w:val="Hyperlink"/>
            <w:rFonts w:asciiTheme="minorHAnsi" w:hAnsiTheme="minorHAnsi" w:cstheme="minorHAnsi"/>
            <w:b/>
            <w:bCs/>
            <w:iCs/>
            <w:noProof/>
            <w:sz w:val="22"/>
            <w:szCs w:val="22"/>
            <w:lang w:val="sr-Cyrl-BA"/>
          </w:rPr>
          <w:t>4.2.</w:t>
        </w:r>
        <w:r w:rsidR="002D1E7C" w:rsidRPr="002D1E7C">
          <w:rPr>
            <w:rFonts w:asciiTheme="minorHAnsi" w:eastAsiaTheme="minorEastAsia" w:hAnsiTheme="minorHAnsi" w:cstheme="minorHAnsi"/>
            <w:smallCaps w:val="0"/>
            <w:noProof/>
            <w:sz w:val="22"/>
            <w:szCs w:val="22"/>
          </w:rPr>
          <w:tab/>
        </w:r>
        <w:r w:rsidR="002D1E7C" w:rsidRPr="002D1E7C">
          <w:rPr>
            <w:rStyle w:val="Hyperlink"/>
            <w:rFonts w:asciiTheme="minorHAnsi" w:hAnsiTheme="minorHAnsi" w:cstheme="minorHAnsi"/>
            <w:b/>
            <w:bCs/>
            <w:iCs/>
            <w:noProof/>
            <w:sz w:val="22"/>
            <w:szCs w:val="22"/>
            <w:lang w:val="sr-Cyrl-BA"/>
          </w:rPr>
          <w:t>Revizorski izvještaj</w:t>
        </w:r>
        <w:r w:rsidR="002D1E7C" w:rsidRPr="002D1E7C">
          <w:rPr>
            <w:rFonts w:asciiTheme="minorHAnsi" w:hAnsiTheme="minorHAnsi" w:cstheme="minorHAnsi"/>
            <w:noProof/>
            <w:webHidden/>
            <w:sz w:val="22"/>
            <w:szCs w:val="22"/>
          </w:rPr>
          <w:tab/>
        </w:r>
        <w:r w:rsidR="002D1E7C" w:rsidRPr="002D1E7C">
          <w:rPr>
            <w:rFonts w:asciiTheme="minorHAnsi" w:hAnsiTheme="minorHAnsi" w:cstheme="minorHAnsi"/>
            <w:noProof/>
            <w:webHidden/>
            <w:sz w:val="22"/>
            <w:szCs w:val="22"/>
          </w:rPr>
          <w:fldChar w:fldCharType="begin"/>
        </w:r>
        <w:r w:rsidR="002D1E7C" w:rsidRPr="002D1E7C">
          <w:rPr>
            <w:rFonts w:asciiTheme="minorHAnsi" w:hAnsiTheme="minorHAnsi" w:cstheme="minorHAnsi"/>
            <w:noProof/>
            <w:webHidden/>
            <w:sz w:val="22"/>
            <w:szCs w:val="22"/>
          </w:rPr>
          <w:instrText xml:space="preserve"> PAGEREF _Toc210301185 \h </w:instrText>
        </w:r>
        <w:r w:rsidR="002D1E7C" w:rsidRPr="002D1E7C">
          <w:rPr>
            <w:rFonts w:asciiTheme="minorHAnsi" w:hAnsiTheme="minorHAnsi" w:cstheme="minorHAnsi"/>
            <w:noProof/>
            <w:webHidden/>
            <w:sz w:val="22"/>
            <w:szCs w:val="22"/>
          </w:rPr>
        </w:r>
        <w:r w:rsidR="002D1E7C" w:rsidRPr="002D1E7C">
          <w:rPr>
            <w:rFonts w:asciiTheme="minorHAnsi" w:hAnsiTheme="minorHAnsi" w:cstheme="minorHAnsi"/>
            <w:noProof/>
            <w:webHidden/>
            <w:sz w:val="22"/>
            <w:szCs w:val="22"/>
          </w:rPr>
          <w:fldChar w:fldCharType="separate"/>
        </w:r>
        <w:r w:rsidR="002D1E7C">
          <w:rPr>
            <w:rFonts w:asciiTheme="minorHAnsi" w:hAnsiTheme="minorHAnsi" w:cstheme="minorHAnsi"/>
            <w:noProof/>
            <w:webHidden/>
            <w:sz w:val="22"/>
            <w:szCs w:val="22"/>
          </w:rPr>
          <w:t>34</w:t>
        </w:r>
        <w:r w:rsidR="002D1E7C" w:rsidRPr="002D1E7C">
          <w:rPr>
            <w:rFonts w:asciiTheme="minorHAnsi" w:hAnsiTheme="minorHAnsi" w:cstheme="minorHAnsi"/>
            <w:noProof/>
            <w:webHidden/>
            <w:sz w:val="22"/>
            <w:szCs w:val="22"/>
          </w:rPr>
          <w:fldChar w:fldCharType="end"/>
        </w:r>
      </w:hyperlink>
    </w:p>
    <w:p w:rsidR="002D1E7C" w:rsidRPr="002D1E7C" w:rsidRDefault="00DB6919">
      <w:pPr>
        <w:pStyle w:val="TOC1"/>
        <w:rPr>
          <w:rFonts w:asciiTheme="minorHAnsi" w:eastAsiaTheme="minorEastAsia" w:hAnsiTheme="minorHAnsi" w:cstheme="minorHAnsi"/>
          <w:b w:val="0"/>
          <w:bCs w:val="0"/>
          <w:caps w:val="0"/>
          <w:noProof/>
          <w:sz w:val="22"/>
          <w:szCs w:val="22"/>
        </w:rPr>
      </w:pPr>
      <w:hyperlink w:anchor="_Toc210301186" w:history="1">
        <w:r w:rsidR="002D1E7C" w:rsidRPr="002D1E7C">
          <w:rPr>
            <w:rStyle w:val="Hyperlink"/>
            <w:rFonts w:asciiTheme="minorHAnsi" w:hAnsiTheme="minorHAnsi" w:cstheme="minorHAnsi"/>
            <w:noProof/>
            <w:sz w:val="22"/>
            <w:szCs w:val="22"/>
            <w:lang w:val="ru-RU"/>
          </w:rPr>
          <w:t>5.</w:t>
        </w:r>
        <w:r w:rsidR="002D1E7C" w:rsidRPr="002D1E7C">
          <w:rPr>
            <w:rFonts w:asciiTheme="minorHAnsi" w:eastAsiaTheme="minorEastAsia" w:hAnsiTheme="minorHAnsi" w:cstheme="minorHAnsi"/>
            <w:b w:val="0"/>
            <w:bCs w:val="0"/>
            <w:caps w:val="0"/>
            <w:noProof/>
            <w:sz w:val="22"/>
            <w:szCs w:val="22"/>
          </w:rPr>
          <w:tab/>
        </w:r>
        <w:r w:rsidR="002D1E7C" w:rsidRPr="002D1E7C">
          <w:rPr>
            <w:rStyle w:val="Hyperlink"/>
            <w:rFonts w:asciiTheme="minorHAnsi" w:hAnsiTheme="minorHAnsi" w:cstheme="minorHAnsi"/>
            <w:noProof/>
            <w:sz w:val="22"/>
            <w:szCs w:val="22"/>
            <w:lang w:val="sr-Cyrl-CS"/>
          </w:rPr>
          <w:t>Internet stranica Regulatorne komisije</w:t>
        </w:r>
        <w:r w:rsidR="002D1E7C" w:rsidRPr="002D1E7C">
          <w:rPr>
            <w:rFonts w:asciiTheme="minorHAnsi" w:hAnsiTheme="minorHAnsi" w:cstheme="minorHAnsi"/>
            <w:noProof/>
            <w:webHidden/>
            <w:sz w:val="22"/>
            <w:szCs w:val="22"/>
          </w:rPr>
          <w:tab/>
        </w:r>
        <w:r w:rsidR="002D1E7C" w:rsidRPr="002D1E7C">
          <w:rPr>
            <w:rFonts w:asciiTheme="minorHAnsi" w:hAnsiTheme="minorHAnsi" w:cstheme="minorHAnsi"/>
            <w:noProof/>
            <w:webHidden/>
            <w:sz w:val="22"/>
            <w:szCs w:val="22"/>
          </w:rPr>
          <w:fldChar w:fldCharType="begin"/>
        </w:r>
        <w:r w:rsidR="002D1E7C" w:rsidRPr="002D1E7C">
          <w:rPr>
            <w:rFonts w:asciiTheme="minorHAnsi" w:hAnsiTheme="minorHAnsi" w:cstheme="minorHAnsi"/>
            <w:noProof/>
            <w:webHidden/>
            <w:sz w:val="22"/>
            <w:szCs w:val="22"/>
          </w:rPr>
          <w:instrText xml:space="preserve"> PAGEREF _Toc210301186 \h </w:instrText>
        </w:r>
        <w:r w:rsidR="002D1E7C" w:rsidRPr="002D1E7C">
          <w:rPr>
            <w:rFonts w:asciiTheme="minorHAnsi" w:hAnsiTheme="minorHAnsi" w:cstheme="minorHAnsi"/>
            <w:noProof/>
            <w:webHidden/>
            <w:sz w:val="22"/>
            <w:szCs w:val="22"/>
          </w:rPr>
        </w:r>
        <w:r w:rsidR="002D1E7C" w:rsidRPr="002D1E7C">
          <w:rPr>
            <w:rFonts w:asciiTheme="minorHAnsi" w:hAnsiTheme="minorHAnsi" w:cstheme="minorHAnsi"/>
            <w:noProof/>
            <w:webHidden/>
            <w:sz w:val="22"/>
            <w:szCs w:val="22"/>
          </w:rPr>
          <w:fldChar w:fldCharType="separate"/>
        </w:r>
        <w:r w:rsidR="002D1E7C">
          <w:rPr>
            <w:rFonts w:asciiTheme="minorHAnsi" w:hAnsiTheme="minorHAnsi" w:cstheme="minorHAnsi"/>
            <w:noProof/>
            <w:webHidden/>
            <w:sz w:val="22"/>
            <w:szCs w:val="22"/>
          </w:rPr>
          <w:t>38</w:t>
        </w:r>
        <w:r w:rsidR="002D1E7C" w:rsidRPr="002D1E7C">
          <w:rPr>
            <w:rFonts w:asciiTheme="minorHAnsi" w:hAnsiTheme="minorHAnsi" w:cstheme="minorHAnsi"/>
            <w:noProof/>
            <w:webHidden/>
            <w:sz w:val="22"/>
            <w:szCs w:val="22"/>
          </w:rPr>
          <w:fldChar w:fldCharType="end"/>
        </w:r>
      </w:hyperlink>
    </w:p>
    <w:p w:rsidR="005A1B74" w:rsidRPr="00281D1F" w:rsidRDefault="005A1B74" w:rsidP="002D1E7C">
      <w:pPr>
        <w:shd w:val="clear" w:color="auto" w:fill="FFFFFF"/>
        <w:tabs>
          <w:tab w:val="right" w:leader="dot" w:pos="8789"/>
          <w:tab w:val="right" w:leader="dot" w:pos="8931"/>
          <w:tab w:val="right" w:leader="dot" w:pos="9356"/>
        </w:tabs>
        <w:spacing w:before="240" w:after="240"/>
        <w:ind w:right="-2"/>
        <w:jc w:val="both"/>
        <w:rPr>
          <w:rFonts w:asciiTheme="minorHAnsi" w:hAnsiTheme="minorHAnsi"/>
          <w:sz w:val="22"/>
          <w:szCs w:val="22"/>
          <w:lang w:val="sr-Cyrl-BA"/>
        </w:rPr>
      </w:pPr>
      <w:r w:rsidRPr="002D1E7C">
        <w:rPr>
          <w:rFonts w:asciiTheme="minorHAnsi" w:hAnsiTheme="minorHAnsi" w:cstheme="minorHAnsi"/>
          <w:sz w:val="22"/>
          <w:szCs w:val="22"/>
          <w:lang w:val="sr-Cyrl-BA"/>
        </w:rPr>
        <w:fldChar w:fldCharType="end"/>
      </w:r>
      <w:bookmarkStart w:id="8" w:name="_Toc293411071"/>
      <w:bookmarkStart w:id="9" w:name="_Toc293414759"/>
      <w:bookmarkStart w:id="10" w:name="_Toc293563709"/>
      <w:bookmarkEnd w:id="5"/>
      <w:bookmarkEnd w:id="6"/>
      <w:bookmarkEnd w:id="7"/>
    </w:p>
    <w:p w:rsidR="005A1B74" w:rsidRPr="00281D1F" w:rsidRDefault="005A1B74" w:rsidP="002D1E7C">
      <w:pPr>
        <w:shd w:val="clear" w:color="auto" w:fill="FFFFFF"/>
        <w:spacing w:before="240" w:after="240"/>
        <w:jc w:val="both"/>
        <w:rPr>
          <w:rFonts w:asciiTheme="minorHAnsi" w:hAnsiTheme="minorHAnsi"/>
          <w:sz w:val="22"/>
          <w:szCs w:val="22"/>
          <w:lang w:val="sr-Cyrl-BA"/>
        </w:rPr>
      </w:pPr>
    </w:p>
    <w:p w:rsidR="005A1B74" w:rsidRPr="00281D1F" w:rsidRDefault="005A1B74" w:rsidP="002D1E7C">
      <w:pPr>
        <w:shd w:val="clear" w:color="auto" w:fill="FFFFFF"/>
        <w:spacing w:before="240" w:after="240"/>
        <w:jc w:val="both"/>
        <w:rPr>
          <w:rFonts w:asciiTheme="minorHAnsi" w:hAnsiTheme="minorHAnsi"/>
          <w:sz w:val="22"/>
          <w:szCs w:val="22"/>
          <w:lang w:val="sr-Cyrl-BA"/>
        </w:rPr>
      </w:pPr>
    </w:p>
    <w:p w:rsidR="005A1B74" w:rsidRPr="00281D1F" w:rsidRDefault="005A1B74" w:rsidP="002D1E7C">
      <w:pPr>
        <w:rPr>
          <w:rFonts w:asciiTheme="minorHAnsi" w:hAnsiTheme="minorHAnsi"/>
          <w:sz w:val="22"/>
          <w:szCs w:val="22"/>
          <w:lang w:val="sr-Cyrl-BA"/>
        </w:rPr>
      </w:pPr>
      <w:r w:rsidRPr="00281D1F">
        <w:rPr>
          <w:rFonts w:asciiTheme="minorHAnsi" w:hAnsiTheme="minorHAnsi"/>
          <w:sz w:val="22"/>
          <w:szCs w:val="22"/>
          <w:lang w:val="sr-Cyrl-BA"/>
        </w:rPr>
        <w:br w:type="page"/>
      </w:r>
    </w:p>
    <w:p w:rsidR="005A1B74" w:rsidRPr="00281D1F" w:rsidRDefault="005A1B74" w:rsidP="002D1E7C">
      <w:pPr>
        <w:shd w:val="clear" w:color="auto" w:fill="FFFFFF"/>
        <w:spacing w:before="240" w:after="240"/>
        <w:jc w:val="both"/>
        <w:rPr>
          <w:rFonts w:asciiTheme="minorHAnsi" w:hAnsiTheme="minorHAnsi"/>
          <w:b/>
          <w:lang w:val="sr-Cyrl-BA"/>
        </w:rPr>
      </w:pPr>
      <w:r w:rsidRPr="00281D1F">
        <w:rPr>
          <w:rFonts w:asciiTheme="minorHAnsi" w:hAnsiTheme="minorHAnsi"/>
          <w:b/>
          <w:lang w:val="sr-Cyrl-BA"/>
        </w:rPr>
        <w:lastRenderedPageBreak/>
        <w:t>PREDGOVOR</w:t>
      </w:r>
    </w:p>
    <w:p w:rsidR="005A1B74" w:rsidRPr="00281D1F" w:rsidRDefault="005A1B74" w:rsidP="002D1E7C">
      <w:pPr>
        <w:shd w:val="clear" w:color="auto" w:fill="FFFFFF"/>
        <w:spacing w:after="120"/>
        <w:jc w:val="both"/>
        <w:rPr>
          <w:rFonts w:asciiTheme="minorHAnsi" w:hAnsiTheme="minorHAnsi"/>
          <w:lang w:val="sr-Cyrl-BA"/>
        </w:rPr>
      </w:pPr>
      <w:r w:rsidRPr="00281D1F">
        <w:rPr>
          <w:rFonts w:asciiTheme="minorHAnsi" w:hAnsiTheme="minorHAnsi"/>
          <w:lang w:val="sr-Cyrl-BA"/>
        </w:rPr>
        <w:t>U Izvještaju o radu Regulatorne komisije za energetiku Republike Srpske dat je pregled aktivnosti koje je, u vršenju zakonom utvrđenih nadležnosti, sprovodila Regulatorna komisija u 202</w:t>
      </w:r>
      <w:r>
        <w:rPr>
          <w:rFonts w:asciiTheme="minorHAnsi" w:hAnsiTheme="minorHAnsi"/>
          <w:lang w:val="sr-Latn-BA"/>
        </w:rPr>
        <w:t>4</w:t>
      </w:r>
      <w:r w:rsidRPr="00281D1F">
        <w:rPr>
          <w:rFonts w:asciiTheme="minorHAnsi" w:hAnsiTheme="minorHAnsi"/>
          <w:lang w:val="sr-Cyrl-BA"/>
        </w:rPr>
        <w:t>. godini.</w:t>
      </w:r>
    </w:p>
    <w:p w:rsidR="005A1B74" w:rsidRPr="00281D1F" w:rsidRDefault="005A1B74" w:rsidP="002D1E7C">
      <w:pPr>
        <w:spacing w:after="120"/>
        <w:jc w:val="both"/>
        <w:rPr>
          <w:rFonts w:asciiTheme="minorHAnsi" w:hAnsiTheme="minorHAnsi"/>
          <w:lang w:val="sr-Cyrl-BA"/>
        </w:rPr>
      </w:pPr>
      <w:r w:rsidRPr="00281D1F">
        <w:rPr>
          <w:rFonts w:asciiTheme="minorHAnsi" w:hAnsiTheme="minorHAnsi"/>
          <w:lang w:val="sr-Cyrl-BA"/>
        </w:rPr>
        <w:t>Odredbom člana 26. Zakona o energetici propisana je obaveza Regulatornoj komisiji, kao nezavisnom regulatornom tijelu, da jednom godišnje podnese Izvještaj o svom radu Narodnoj skupštini Republike Srpske.</w:t>
      </w:r>
    </w:p>
    <w:p w:rsidR="005A1B74" w:rsidRPr="00281D1F" w:rsidRDefault="005A1B74" w:rsidP="002D1E7C">
      <w:pPr>
        <w:shd w:val="clear" w:color="auto" w:fill="FFFFFF"/>
        <w:spacing w:after="120"/>
        <w:jc w:val="both"/>
        <w:rPr>
          <w:rFonts w:asciiTheme="minorHAnsi" w:hAnsiTheme="minorHAnsi"/>
          <w:noProof/>
          <w:lang w:val="sr-Cyrl-BA"/>
        </w:rPr>
      </w:pPr>
      <w:r w:rsidRPr="00281D1F">
        <w:rPr>
          <w:rFonts w:asciiTheme="minorHAnsi" w:hAnsiTheme="minorHAnsi"/>
          <w:lang w:val="sr-Cyrl-BA"/>
        </w:rPr>
        <w:t>Regulatorna komisija je u 202</w:t>
      </w:r>
      <w:r>
        <w:rPr>
          <w:rFonts w:asciiTheme="minorHAnsi" w:hAnsiTheme="minorHAnsi"/>
          <w:lang w:val="sr-Latn-BA"/>
        </w:rPr>
        <w:t>4</w:t>
      </w:r>
      <w:r w:rsidRPr="00281D1F">
        <w:rPr>
          <w:rFonts w:asciiTheme="minorHAnsi" w:hAnsiTheme="minorHAnsi"/>
          <w:lang w:val="sr-Cyrl-BA"/>
        </w:rPr>
        <w:t xml:space="preserve">. godini imala za cilj </w:t>
      </w:r>
      <w:r w:rsidRPr="00281D1F">
        <w:rPr>
          <w:rFonts w:asciiTheme="minorHAnsi" w:hAnsiTheme="minorHAnsi"/>
          <w:noProof/>
          <w:lang w:val="sr-Cyrl-BA"/>
        </w:rPr>
        <w:t xml:space="preserve">da u tržišnim uslovima, koje su karakterisali veliki poremećaji i neizvjesnosti na tržištu, obezbijedi pristup mreži, sigurnost snabdijevanja energijom i održivi razvoj. </w:t>
      </w:r>
    </w:p>
    <w:p w:rsidR="005A1B74" w:rsidRPr="00281D1F" w:rsidRDefault="005A1B74" w:rsidP="002D1E7C">
      <w:pPr>
        <w:shd w:val="clear" w:color="auto" w:fill="FFFFFF"/>
        <w:spacing w:after="120"/>
        <w:jc w:val="both"/>
        <w:rPr>
          <w:rFonts w:asciiTheme="minorHAnsi" w:hAnsiTheme="minorHAnsi"/>
          <w:noProof/>
          <w:lang w:val="sr-Cyrl-BA"/>
        </w:rPr>
      </w:pPr>
      <w:r w:rsidRPr="00281D1F">
        <w:rPr>
          <w:rFonts w:asciiTheme="minorHAnsi" w:hAnsiTheme="minorHAnsi"/>
          <w:noProof/>
          <w:lang w:val="sr-Cyrl-BA"/>
        </w:rPr>
        <w:t>Tokom 202</w:t>
      </w:r>
      <w:r>
        <w:rPr>
          <w:rFonts w:asciiTheme="minorHAnsi" w:hAnsiTheme="minorHAnsi"/>
          <w:noProof/>
          <w:lang w:val="sr-Cyrl-BA"/>
        </w:rPr>
        <w:t>4</w:t>
      </w:r>
      <w:r w:rsidRPr="00281D1F">
        <w:rPr>
          <w:rFonts w:asciiTheme="minorHAnsi" w:hAnsiTheme="minorHAnsi"/>
          <w:noProof/>
          <w:lang w:val="sr-Cyrl-BA"/>
        </w:rPr>
        <w:t xml:space="preserve">. godine, Regulatorna komisija je održala </w:t>
      </w:r>
      <w:r>
        <w:rPr>
          <w:rFonts w:asciiTheme="minorHAnsi" w:hAnsiTheme="minorHAnsi"/>
          <w:noProof/>
          <w:lang w:val="bs-Latn-BA"/>
        </w:rPr>
        <w:t>38</w:t>
      </w:r>
      <w:r w:rsidRPr="00281D1F">
        <w:rPr>
          <w:rFonts w:asciiTheme="minorHAnsi" w:hAnsiTheme="minorHAnsi"/>
          <w:noProof/>
          <w:lang w:val="sr-Cyrl-BA"/>
        </w:rPr>
        <w:t xml:space="preserve"> redovnih sjednica</w:t>
      </w:r>
      <w:r>
        <w:rPr>
          <w:rFonts w:asciiTheme="minorHAnsi" w:hAnsiTheme="minorHAnsi"/>
          <w:noProof/>
          <w:lang w:val="sr-Cyrl-BA"/>
        </w:rPr>
        <w:t xml:space="preserve"> i jednu vanrednu sjednicu</w:t>
      </w:r>
      <w:r w:rsidRPr="00281D1F">
        <w:rPr>
          <w:rFonts w:asciiTheme="minorHAnsi" w:hAnsiTheme="minorHAnsi"/>
          <w:noProof/>
          <w:lang w:val="sr-Cyrl-BA"/>
        </w:rPr>
        <w:t>, na kojima su donesene odluke iz djelokruga rada - izdavanje i oduzimanje dozvola, nadzor tržišta energije, zaštita kupaca, regulacija cijena u dijelu koji se odnosi na korišćenje distributivnog sistema (mrežarinu) i univerzalnu uslugu, obnovljive izvore energije i druge poslove iz nadležnosti Regulatorne komisije.</w:t>
      </w:r>
    </w:p>
    <w:p w:rsidR="005A1B74" w:rsidRPr="00281D1F" w:rsidRDefault="005A1B74" w:rsidP="002D1E7C">
      <w:pPr>
        <w:shd w:val="clear" w:color="auto" w:fill="FFFFFF"/>
        <w:spacing w:after="120"/>
        <w:jc w:val="both"/>
        <w:rPr>
          <w:rFonts w:asciiTheme="minorHAnsi" w:hAnsiTheme="minorHAnsi" w:cs="Arial"/>
          <w:lang w:val="sr-Cyrl-BA"/>
        </w:rPr>
      </w:pPr>
      <w:r w:rsidRPr="00281D1F">
        <w:rPr>
          <w:rFonts w:asciiTheme="minorHAnsi" w:hAnsiTheme="minorHAnsi"/>
          <w:noProof/>
          <w:lang w:val="sr-Cyrl-BA"/>
        </w:rPr>
        <w:t>Regulatorna komisija je veliki dio svojih aktivnosti i tokom 202</w:t>
      </w:r>
      <w:r>
        <w:rPr>
          <w:rFonts w:asciiTheme="minorHAnsi" w:hAnsiTheme="minorHAnsi"/>
          <w:noProof/>
          <w:lang w:val="sr-Cyrl-BA"/>
        </w:rPr>
        <w:t>4</w:t>
      </w:r>
      <w:r w:rsidRPr="00281D1F">
        <w:rPr>
          <w:rFonts w:asciiTheme="minorHAnsi" w:hAnsiTheme="minorHAnsi"/>
          <w:noProof/>
          <w:lang w:val="sr-Cyrl-BA"/>
        </w:rPr>
        <w:t xml:space="preserve">. godine posvetila analizi primjene i donošenju podzakonskih akata u cilju daljeg razvoja tržišta električne energije, ali i prirodnog gasa. </w:t>
      </w:r>
      <w:r w:rsidRPr="00281D1F">
        <w:rPr>
          <w:rFonts w:asciiTheme="minorHAnsi" w:hAnsiTheme="minorHAnsi" w:cs="Arial"/>
          <w:lang w:val="sr-Cyrl-BA"/>
        </w:rPr>
        <w:t>Jedan od osnovnih ciljeva u procesu razvoja tržišta</w:t>
      </w:r>
      <w:r w:rsidRPr="00281D1F" w:rsidDel="00A20B5B">
        <w:rPr>
          <w:rFonts w:asciiTheme="minorHAnsi" w:hAnsiTheme="minorHAnsi" w:cs="Arial"/>
          <w:lang w:val="sr-Cyrl-BA"/>
        </w:rPr>
        <w:t xml:space="preserve"> </w:t>
      </w:r>
      <w:r w:rsidRPr="00281D1F">
        <w:rPr>
          <w:rFonts w:asciiTheme="minorHAnsi" w:hAnsiTheme="minorHAnsi" w:cs="Arial"/>
          <w:lang w:val="sr-Cyrl-BA"/>
        </w:rPr>
        <w:t xml:space="preserve">jeste i pravo kupca na slobodan izbor snabdjevača električnom energijom i obratno, omogućavanje jasnih, javnih i nepristrasnih uslova pod kojima snabdjevači vrše djelatnost snabdijevanja kupaca električnom energijom ili prirodnim gasom. U tom smislu, svi kupci električne energije u Republici Srpskoj imaju pravo na slobodan izbor snabdjevača. Međutim, u cilju zaštite kupaca, domaćinstva i mali kupci u sektoru električne energije imaju pravo i na snabdijevanje od javnih snabdjevača po regulisanim cijenama, dok ostali kupci imaju pravo na rezervno snabdijevanje. Takođe i u sektoru prirodnog gasa, kupci imaju pravo na slobodan izbor snabdjevača, pri čemu kupci iz kategorije domaćinstva imaju pravo na snabdijevanje od strane javnog snabdjevača. </w:t>
      </w:r>
    </w:p>
    <w:p w:rsidR="005A1B74" w:rsidRPr="00281D1F" w:rsidRDefault="005A1B74" w:rsidP="002D1E7C">
      <w:pPr>
        <w:shd w:val="clear" w:color="auto" w:fill="FFFFFF"/>
        <w:spacing w:after="120"/>
        <w:jc w:val="both"/>
        <w:rPr>
          <w:rFonts w:asciiTheme="minorHAnsi" w:hAnsiTheme="minorHAnsi" w:cs="Arial"/>
          <w:lang w:val="sr-Cyrl-BA"/>
        </w:rPr>
      </w:pPr>
      <w:r w:rsidRPr="00281D1F">
        <w:rPr>
          <w:rFonts w:asciiTheme="minorHAnsi" w:hAnsiTheme="minorHAnsi" w:cs="Arial"/>
          <w:lang w:val="sr-Cyrl-BA"/>
        </w:rPr>
        <w:t>Tokom prethodnih godina, ostvaren je napredak u razvoju maloprodajnog tržišta električne energije, prije svega kroz pravno razdvajanje javnog snabdjevača od operatora distributivnog sistema, pri čemu se pravno odvojen i nezavistan operator distributivnog sistema nameće kao nezaobilazni faktor razvoja maloprodajnog tržišta. Upravljanje, rad i razvoj distributivne mreže od strane nezavisnog operator</w:t>
      </w:r>
      <w:r>
        <w:rPr>
          <w:rFonts w:asciiTheme="minorHAnsi" w:hAnsiTheme="minorHAnsi" w:cs="Arial"/>
          <w:lang w:val="sr-Cyrl-BA"/>
        </w:rPr>
        <w:t>a</w:t>
      </w:r>
      <w:r w:rsidRPr="00281D1F">
        <w:rPr>
          <w:rFonts w:asciiTheme="minorHAnsi" w:hAnsiTheme="minorHAnsi" w:cs="Arial"/>
          <w:lang w:val="sr-Cyrl-BA"/>
        </w:rPr>
        <w:t xml:space="preserve"> distributivnog sistema, koji je pravno raz</w:t>
      </w:r>
      <w:r>
        <w:rPr>
          <w:rFonts w:asciiTheme="minorHAnsi" w:hAnsiTheme="minorHAnsi" w:cs="Arial"/>
          <w:lang w:val="sr-Cyrl-BA"/>
        </w:rPr>
        <w:t>d</w:t>
      </w:r>
      <w:r w:rsidRPr="00281D1F">
        <w:rPr>
          <w:rFonts w:asciiTheme="minorHAnsi" w:hAnsiTheme="minorHAnsi" w:cs="Arial"/>
          <w:lang w:val="sr-Cyrl-BA"/>
        </w:rPr>
        <w:t>voje</w:t>
      </w:r>
      <w:r>
        <w:rPr>
          <w:rFonts w:asciiTheme="minorHAnsi" w:hAnsiTheme="minorHAnsi" w:cs="Arial"/>
          <w:lang w:val="sr-Cyrl-BA"/>
        </w:rPr>
        <w:t>n od ostalih djelatnosti u sek</w:t>
      </w:r>
      <w:r w:rsidRPr="00281D1F">
        <w:rPr>
          <w:rFonts w:asciiTheme="minorHAnsi" w:hAnsiTheme="minorHAnsi" w:cs="Arial"/>
          <w:lang w:val="sr-Cyrl-BA"/>
        </w:rPr>
        <w:t>t</w:t>
      </w:r>
      <w:r>
        <w:rPr>
          <w:rFonts w:asciiTheme="minorHAnsi" w:hAnsiTheme="minorHAnsi" w:cs="Arial"/>
          <w:lang w:val="sr-Cyrl-BA"/>
        </w:rPr>
        <w:t>o</w:t>
      </w:r>
      <w:r w:rsidRPr="00281D1F">
        <w:rPr>
          <w:rFonts w:asciiTheme="minorHAnsi" w:hAnsiTheme="minorHAnsi" w:cs="Arial"/>
          <w:lang w:val="sr-Cyrl-BA"/>
        </w:rPr>
        <w:t>ru energetike, predstavlja veliki izazov, obavezu i odgovornost za same operatore distributivnog sistema, ali i njihove vlasnike.</w:t>
      </w:r>
    </w:p>
    <w:p w:rsidR="005A1B74" w:rsidRPr="00281D1F" w:rsidRDefault="005A1B74" w:rsidP="002D1E7C">
      <w:pPr>
        <w:shd w:val="clear" w:color="auto" w:fill="FFFFFF"/>
        <w:spacing w:after="120"/>
        <w:jc w:val="both"/>
        <w:rPr>
          <w:rFonts w:asciiTheme="minorHAnsi" w:hAnsiTheme="minorHAnsi" w:cs="Arial"/>
          <w:lang w:val="sr-Cyrl-BA"/>
        </w:rPr>
      </w:pPr>
      <w:r w:rsidRPr="00281D1F">
        <w:rPr>
          <w:rFonts w:asciiTheme="minorHAnsi" w:hAnsiTheme="minorHAnsi" w:cs="Arial"/>
          <w:lang w:val="sr-Cyrl-BA"/>
        </w:rPr>
        <w:t xml:space="preserve">Regulatorna komisija je preduzela određene aktivnosti na unapređenju mjera za zaštitu kupaca. Ove mjere podrazumijevaju propisivanje i sprovođenje prava kupaca koja se odnose na zaključivanje ugovora o kupoprodaji električne energije i prirodnog gasa sa unaprijed definisanim uslovima, ravnopravan i javan način pristupa i priključenja na distributivnu mrežu, efikasno rješavanje sporova, obavještavanje o izmjenama elemenata ugovora, kao i dobijanje drugih informacija od značaja za odnose kupac/snabdjevač/operator sistema. </w:t>
      </w:r>
    </w:p>
    <w:p w:rsidR="005A1B74" w:rsidRPr="00281D1F" w:rsidRDefault="005A1B74" w:rsidP="002D1E7C">
      <w:pPr>
        <w:shd w:val="clear" w:color="auto" w:fill="FFFFFF"/>
        <w:spacing w:after="120"/>
        <w:jc w:val="both"/>
        <w:rPr>
          <w:rFonts w:asciiTheme="minorHAnsi" w:hAnsiTheme="minorHAnsi" w:cs="Arial"/>
          <w:lang w:val="sr-Cyrl-BA"/>
        </w:rPr>
      </w:pPr>
      <w:r>
        <w:rPr>
          <w:rFonts w:asciiTheme="minorHAnsi" w:hAnsiTheme="minorHAnsi" w:cs="Arial"/>
          <w:lang w:val="sr-Cyrl-BA"/>
        </w:rPr>
        <w:t>Na</w:t>
      </w:r>
      <w:r w:rsidRPr="00281D1F">
        <w:rPr>
          <w:rFonts w:asciiTheme="minorHAnsi" w:hAnsiTheme="minorHAnsi" w:cs="Arial"/>
          <w:lang w:val="sr-Cyrl-BA"/>
        </w:rPr>
        <w:t xml:space="preserve"> jednom razvijenom i funkcionalnom tržištu, od velikog značaja jeste pitanje zaštite energetski zaštićenih kupaca, te smatramo da bi, u skladu sa  odredbama Zakona o električnoj energiji, trebalo uspostaviti mehanizme koji se odnose na energetski zaštićene </w:t>
      </w:r>
      <w:r w:rsidRPr="00281D1F">
        <w:rPr>
          <w:rFonts w:asciiTheme="minorHAnsi" w:hAnsiTheme="minorHAnsi" w:cs="Arial"/>
          <w:lang w:val="sr-Cyrl-BA"/>
        </w:rPr>
        <w:lastRenderedPageBreak/>
        <w:t xml:space="preserve">kupce. Ovo ujedno predstavlja jednu od rijetkih aktivnosti koja nije do kraja sprovedena u Republici Srpskoj, iako je propisana Zakonom o električnoj energiji. </w:t>
      </w:r>
    </w:p>
    <w:p w:rsidR="005A1B74" w:rsidRPr="00281D1F" w:rsidRDefault="005A1B74" w:rsidP="002D1E7C">
      <w:pPr>
        <w:shd w:val="clear" w:color="auto" w:fill="FFFFFF"/>
        <w:spacing w:after="120"/>
        <w:jc w:val="both"/>
        <w:rPr>
          <w:rFonts w:asciiTheme="minorHAnsi" w:hAnsiTheme="minorHAnsi" w:cs="Arial"/>
          <w:lang w:val="sr-Cyrl-BA"/>
        </w:rPr>
      </w:pPr>
      <w:r w:rsidRPr="00281D1F">
        <w:rPr>
          <w:rFonts w:asciiTheme="minorHAnsi" w:hAnsiTheme="minorHAnsi" w:cs="Arial"/>
          <w:lang w:val="sr-Cyrl-BA"/>
        </w:rPr>
        <w:t>Uloga Regulatorne komisije u sistemu podsticanja proizvodnje električne energije iz obnovljivih izvora obuhvata širok spektar aktivnosti - izdavanje sertifikata za proizvodna postrojenja koja proizvode električnu energiju iz obnovljivih izvora energije,  donošenje rješenja o pravu na podsticaj, utvrđivanje garantovanih otkupnih cijena i premija, utvrđivanje naknade za podsticanje koju plaćaju kupci električne energije, kao i pribavljanje saglasnosti Vlade Republike Srpske na pojedine odluke Komisije. Veliki izazov za sve institucije u Republici Srpskoj jeste da se funkcionisanje sistema podsticanja proizvodnje električne energije iz obnovljivih izvora učini efikasnijim, a svakako i održivim. U tom smislu, novim Zakonom o obnovljivim izvorima energije je, pored uloge Regulatorne komisije, posebno važna uloga Operatora sistema podsticaja. Ne ulazeći u pr</w:t>
      </w:r>
      <w:r>
        <w:rPr>
          <w:rFonts w:asciiTheme="minorHAnsi" w:hAnsiTheme="minorHAnsi" w:cs="Arial"/>
          <w:lang w:val="sr-Cyrl-BA"/>
        </w:rPr>
        <w:t>avni status Operatora sistema p</w:t>
      </w:r>
      <w:r w:rsidRPr="00281D1F">
        <w:rPr>
          <w:rFonts w:asciiTheme="minorHAnsi" w:hAnsiTheme="minorHAnsi" w:cs="Arial"/>
          <w:lang w:val="sr-Cyrl-BA"/>
        </w:rPr>
        <w:t>o</w:t>
      </w:r>
      <w:r>
        <w:rPr>
          <w:rFonts w:asciiTheme="minorHAnsi" w:hAnsiTheme="minorHAnsi" w:cs="Arial"/>
          <w:lang w:val="sr-Cyrl-BA"/>
        </w:rPr>
        <w:t>d</w:t>
      </w:r>
      <w:r w:rsidRPr="00281D1F">
        <w:rPr>
          <w:rFonts w:asciiTheme="minorHAnsi" w:hAnsiTheme="minorHAnsi" w:cs="Arial"/>
          <w:lang w:val="sr-Cyrl-BA"/>
        </w:rPr>
        <w:t>sticaja, u cilju efikasnosti i održivosti, neophodno je učiniti dodatne napore da Operator sistema podsticaja u potpunosti bude osposobljen i sprovodi zakonom definisane nadležnosti. Pored toga, novim zakonom je osnažena uloga krajnjeg kupca, odnosno osnaženo je njegovo pravo da za svoje potrebe proizvodi dio električne energije u vlastitoj elektrani priključenoj na unutrašnje instalacije krajnjeg kupca. Zadatak Regulatorne komisije, ali i svih učesnika na tržištu električne energije, a prevashodno snabdjevača i operatora distributivnog sistema, jeste dosljedno sprovođenje zakona u pogledu prava kupaca proizvođača i energetskih zajednica.</w:t>
      </w:r>
    </w:p>
    <w:p w:rsidR="005A1B74" w:rsidRPr="00281D1F" w:rsidRDefault="005A1B74" w:rsidP="002D1E7C">
      <w:pPr>
        <w:shd w:val="clear" w:color="auto" w:fill="FFFFFF"/>
        <w:spacing w:before="120" w:after="120"/>
        <w:jc w:val="both"/>
        <w:rPr>
          <w:rFonts w:asciiTheme="minorHAnsi" w:hAnsiTheme="minorHAnsi"/>
          <w:noProof/>
          <w:lang w:val="sr-Cyrl-BA"/>
        </w:rPr>
      </w:pPr>
      <w:r w:rsidRPr="00281D1F">
        <w:rPr>
          <w:rFonts w:asciiTheme="minorHAnsi" w:hAnsiTheme="minorHAnsi"/>
          <w:noProof/>
          <w:lang w:val="sr-Cyrl-BA"/>
        </w:rPr>
        <w:t>Sektor prirodnog gasa Republike Srpske karakteriše, prije svega, nerazvijenost gasne mreže i nizak stepen gasifikacije domaćinstava. Pored toga, od uticaja je svakako i nedostatak zakonodavnog okvira u sektoru prirodnog gasa u Federaciji Bosne i Hercegovine. Aktivnosti Regulatorne komisije u sektoru prirodnog gasa u Republici Srpskoj, imajući u vidu ove specifične uslove, bile su usmjerene na djelatnost transporta i upravljanja transportnim sistemom prirodnog gasa i okončanje postupka sertifikacije operatora transportnog sistema, kao i unapređenje pravila rada operatora transportnog i distributivnog sistema.</w:t>
      </w:r>
    </w:p>
    <w:p w:rsidR="005A1B74" w:rsidRPr="00281D1F" w:rsidRDefault="005A1B74" w:rsidP="002D1E7C">
      <w:pPr>
        <w:shd w:val="clear" w:color="auto" w:fill="FFFFFF"/>
        <w:spacing w:before="120" w:after="120"/>
        <w:jc w:val="both"/>
        <w:rPr>
          <w:rFonts w:asciiTheme="minorHAnsi" w:hAnsiTheme="minorHAnsi"/>
          <w:noProof/>
          <w:lang w:val="sr-Cyrl-BA"/>
        </w:rPr>
      </w:pPr>
      <w:r>
        <w:rPr>
          <w:rFonts w:asciiTheme="minorHAnsi" w:hAnsiTheme="minorHAnsi"/>
          <w:noProof/>
          <w:lang w:val="sr-Cyrl-BA"/>
        </w:rPr>
        <w:t>T</w:t>
      </w:r>
      <w:r w:rsidRPr="00281D1F">
        <w:rPr>
          <w:rFonts w:asciiTheme="minorHAnsi" w:hAnsiTheme="minorHAnsi"/>
          <w:noProof/>
          <w:lang w:val="sr-Cyrl-BA"/>
        </w:rPr>
        <w:t xml:space="preserve">reba naglasiti da još uvijek nisu, u potpunosti, sprovedene aktivnosti na izdavanju dozvola za transport i upravljanje transportnim sistemom u Republici Srpskoj, na dijelu transportnog sistema od Karakaja do Kladnja (Starać). Okončanje ove aktivnosti je od velikog interesa za razvoj tržišta prirodnog gasa u Republici Srpskoj, ali i cijeloj Bosni i Hercegovini. U tom smislu, Regulatorna komisija je, u skladu sa svojim nadležnostima, aktivno sarađivala sa vlasnikom dijela transportnog sistema, kao i predstavnicima nadležnog ministarstva u cilju pokretanja aktivnosti sertifikovanja i postupka izdavanja dozvola u skladu sa zakonom. Sertifikacija operatora transportnog sistema prirodnog gasa i izdavanje dozvole za obavljanje djelatnosti svakako će omogućiti funkcionisanje operatora transportnog sistema u punom kapacitetu, te jednostavan, transparentan i ravnopravan ulazak novih snabdjevača na tržište prirodnog gasa u Republici Srpskoj, što će samo po sebi doprinijeti razvoju tržišta prirodnog gasa u Republici Srpskoj. </w:t>
      </w:r>
    </w:p>
    <w:p w:rsidR="005A1B74" w:rsidRPr="00281D1F" w:rsidRDefault="005A1B74" w:rsidP="002D1E7C">
      <w:pPr>
        <w:shd w:val="clear" w:color="auto" w:fill="FFFFFF"/>
        <w:tabs>
          <w:tab w:val="left" w:pos="4962"/>
        </w:tabs>
        <w:jc w:val="both"/>
        <w:rPr>
          <w:rFonts w:asciiTheme="minorHAnsi" w:hAnsiTheme="minorHAnsi"/>
          <w:noProof/>
          <w:lang w:val="sr-Cyrl-BA"/>
        </w:rPr>
      </w:pPr>
      <w:r w:rsidRPr="00281D1F">
        <w:rPr>
          <w:rFonts w:asciiTheme="minorHAnsi" w:hAnsiTheme="minorHAnsi"/>
          <w:noProof/>
          <w:lang w:val="sr-Cyrl-BA"/>
        </w:rPr>
        <w:t>U cilju nastavka razvoja tržišta, povećanja sigurnosti snabdijevanja i zaštite kupaca, neophodno je izvršiti, prije svega, potpunu primjenu zakonodavstva u sektoru energetike usklađenog sa odredbama Trećeg energetskog paketa, ali i sprovesti aktivnosti na daljem usklađivanju zakon</w:t>
      </w:r>
      <w:r>
        <w:rPr>
          <w:rFonts w:asciiTheme="minorHAnsi" w:hAnsiTheme="minorHAnsi"/>
          <w:noProof/>
          <w:lang w:val="sr-Cyrl-BA"/>
        </w:rPr>
        <w:t>o</w:t>
      </w:r>
      <w:r w:rsidRPr="00281D1F">
        <w:rPr>
          <w:rFonts w:asciiTheme="minorHAnsi" w:hAnsiTheme="minorHAnsi"/>
          <w:noProof/>
          <w:lang w:val="sr-Cyrl-BA"/>
        </w:rPr>
        <w:t>davstva sa međunarodno preuzetim obavezama.</w:t>
      </w:r>
    </w:p>
    <w:p w:rsidR="005A1B74" w:rsidRPr="00281D1F" w:rsidRDefault="005A1B74" w:rsidP="002D1E7C">
      <w:pPr>
        <w:shd w:val="clear" w:color="auto" w:fill="FFFFFF"/>
        <w:tabs>
          <w:tab w:val="left" w:pos="4962"/>
        </w:tabs>
        <w:spacing w:before="120" w:after="120"/>
        <w:jc w:val="both"/>
        <w:rPr>
          <w:rFonts w:asciiTheme="minorHAnsi" w:hAnsiTheme="minorHAnsi"/>
          <w:highlight w:val="yellow"/>
          <w:lang w:val="sr-Cyrl-BA"/>
        </w:rPr>
      </w:pPr>
      <w:r w:rsidRPr="00281D1F">
        <w:rPr>
          <w:rFonts w:asciiTheme="minorHAnsi" w:hAnsiTheme="minorHAnsi"/>
          <w:lang w:val="sr-Cyrl-BA"/>
        </w:rPr>
        <w:lastRenderedPageBreak/>
        <w:t>Sam Izvještaj o radu Regulatorne komisije za energetiku Republike Srpske je podijeljen na cjeline u kojima su predstavljene najznačajnije aktivnosti Regulatorne komisije, koje se odnose na:</w:t>
      </w:r>
    </w:p>
    <w:p w:rsidR="005A1B74" w:rsidRPr="00281D1F" w:rsidRDefault="005A1B74" w:rsidP="002D1E7C">
      <w:pPr>
        <w:pStyle w:val="ListParagraph"/>
        <w:numPr>
          <w:ilvl w:val="0"/>
          <w:numId w:val="15"/>
        </w:numPr>
        <w:autoSpaceDE w:val="0"/>
        <w:autoSpaceDN w:val="0"/>
        <w:ind w:left="714" w:hanging="357"/>
        <w:jc w:val="both"/>
        <w:rPr>
          <w:rFonts w:asciiTheme="minorHAnsi" w:hAnsiTheme="minorHAnsi"/>
          <w:lang w:val="sr-Cyrl-BA"/>
        </w:rPr>
      </w:pPr>
      <w:r w:rsidRPr="00281D1F">
        <w:rPr>
          <w:rFonts w:asciiTheme="minorHAnsi" w:hAnsiTheme="minorHAnsi"/>
          <w:lang w:val="sr-Cyrl-BA"/>
        </w:rPr>
        <w:t xml:space="preserve">pokazatelje o održanim redovnim sjednicama, internim sastancima i javnim razmatranjima, kao i broju i vrsti donesenih akata, </w:t>
      </w:r>
    </w:p>
    <w:p w:rsidR="005A1B74" w:rsidRPr="00281D1F" w:rsidRDefault="005A1B74" w:rsidP="002D1E7C">
      <w:pPr>
        <w:pStyle w:val="ListParagraph"/>
        <w:numPr>
          <w:ilvl w:val="0"/>
          <w:numId w:val="15"/>
        </w:numPr>
        <w:autoSpaceDE w:val="0"/>
        <w:autoSpaceDN w:val="0"/>
        <w:ind w:left="714" w:hanging="357"/>
        <w:jc w:val="both"/>
        <w:rPr>
          <w:rFonts w:asciiTheme="minorHAnsi" w:hAnsiTheme="minorHAnsi"/>
          <w:lang w:val="sr-Cyrl-BA"/>
        </w:rPr>
      </w:pPr>
      <w:r w:rsidRPr="00281D1F">
        <w:rPr>
          <w:rFonts w:asciiTheme="minorHAnsi" w:hAnsiTheme="minorHAnsi"/>
          <w:lang w:val="sr-Cyrl-BA"/>
        </w:rPr>
        <w:t>aktivnosti u sektoru električne energije,</w:t>
      </w:r>
    </w:p>
    <w:p w:rsidR="005A1B74" w:rsidRPr="00281D1F" w:rsidRDefault="005A1B74" w:rsidP="002D1E7C">
      <w:pPr>
        <w:pStyle w:val="ListParagraph"/>
        <w:numPr>
          <w:ilvl w:val="0"/>
          <w:numId w:val="15"/>
        </w:numPr>
        <w:autoSpaceDE w:val="0"/>
        <w:autoSpaceDN w:val="0"/>
        <w:ind w:left="714" w:hanging="357"/>
        <w:jc w:val="both"/>
        <w:rPr>
          <w:rFonts w:asciiTheme="minorHAnsi" w:hAnsiTheme="minorHAnsi"/>
          <w:lang w:val="sr-Cyrl-BA"/>
        </w:rPr>
      </w:pPr>
      <w:r w:rsidRPr="00281D1F">
        <w:rPr>
          <w:rFonts w:asciiTheme="minorHAnsi" w:hAnsiTheme="minorHAnsi"/>
          <w:lang w:val="sr-Cyrl-BA"/>
        </w:rPr>
        <w:t>aktivnosti u sektoru prirodnog gasa,</w:t>
      </w:r>
    </w:p>
    <w:p w:rsidR="005A1B74" w:rsidRPr="00281D1F" w:rsidRDefault="005A1B74" w:rsidP="002D1E7C">
      <w:pPr>
        <w:pStyle w:val="ListParagraph"/>
        <w:numPr>
          <w:ilvl w:val="0"/>
          <w:numId w:val="15"/>
        </w:numPr>
        <w:autoSpaceDE w:val="0"/>
        <w:autoSpaceDN w:val="0"/>
        <w:ind w:left="714" w:hanging="357"/>
        <w:jc w:val="both"/>
        <w:rPr>
          <w:rFonts w:asciiTheme="minorHAnsi" w:hAnsiTheme="minorHAnsi"/>
          <w:lang w:val="sr-Cyrl-BA"/>
        </w:rPr>
      </w:pPr>
      <w:r w:rsidRPr="00281D1F">
        <w:rPr>
          <w:rFonts w:asciiTheme="minorHAnsi" w:hAnsiTheme="minorHAnsi"/>
          <w:lang w:val="sr-Cyrl-BA"/>
        </w:rPr>
        <w:t>aktivnosti u sektoru nafte i derivata nafte,</w:t>
      </w:r>
    </w:p>
    <w:p w:rsidR="005A1B74" w:rsidRPr="00281D1F" w:rsidRDefault="005A1B74" w:rsidP="002D1E7C">
      <w:pPr>
        <w:pStyle w:val="ListParagraph"/>
        <w:numPr>
          <w:ilvl w:val="0"/>
          <w:numId w:val="15"/>
        </w:numPr>
        <w:autoSpaceDE w:val="0"/>
        <w:autoSpaceDN w:val="0"/>
        <w:ind w:left="714" w:hanging="357"/>
        <w:jc w:val="both"/>
        <w:rPr>
          <w:rFonts w:asciiTheme="minorHAnsi" w:hAnsiTheme="minorHAnsi"/>
          <w:lang w:val="sr-Cyrl-BA"/>
        </w:rPr>
      </w:pPr>
      <w:r w:rsidRPr="00281D1F">
        <w:rPr>
          <w:rFonts w:asciiTheme="minorHAnsi" w:hAnsiTheme="minorHAnsi"/>
          <w:lang w:val="sr-Cyrl-BA"/>
        </w:rPr>
        <w:t>saradnju u radu sa drugim regulatornim komisijama u BiH, ministarstvima u Republici Srpskoj/Bosni i Hercegovini te učešće u radu skupova koji su od značaja za rad Regulatorne komisije,</w:t>
      </w:r>
    </w:p>
    <w:p w:rsidR="005A1B74" w:rsidRPr="00281D1F" w:rsidRDefault="005A1B74" w:rsidP="002D1E7C">
      <w:pPr>
        <w:pStyle w:val="ListParagraph"/>
        <w:numPr>
          <w:ilvl w:val="0"/>
          <w:numId w:val="15"/>
        </w:numPr>
        <w:autoSpaceDE w:val="0"/>
        <w:autoSpaceDN w:val="0"/>
        <w:ind w:left="714" w:hanging="357"/>
        <w:jc w:val="both"/>
        <w:rPr>
          <w:rFonts w:asciiTheme="minorHAnsi" w:hAnsiTheme="minorHAnsi"/>
          <w:lang w:val="sr-Cyrl-BA"/>
        </w:rPr>
      </w:pPr>
      <w:r w:rsidRPr="00281D1F">
        <w:rPr>
          <w:rFonts w:asciiTheme="minorHAnsi" w:hAnsiTheme="minorHAnsi"/>
          <w:lang w:val="sr-Cyrl-BA"/>
        </w:rPr>
        <w:t>zaposlene u Regulatornoj komisiji i</w:t>
      </w:r>
    </w:p>
    <w:p w:rsidR="005A1B74" w:rsidRPr="00281D1F" w:rsidRDefault="005A1B74" w:rsidP="002D1E7C">
      <w:pPr>
        <w:pStyle w:val="ListParagraph"/>
        <w:numPr>
          <w:ilvl w:val="0"/>
          <w:numId w:val="15"/>
        </w:numPr>
        <w:autoSpaceDE w:val="0"/>
        <w:autoSpaceDN w:val="0"/>
        <w:ind w:left="714" w:hanging="357"/>
        <w:jc w:val="both"/>
        <w:rPr>
          <w:rFonts w:asciiTheme="minorHAnsi" w:hAnsiTheme="minorHAnsi"/>
          <w:lang w:val="sr-Cyrl-BA"/>
        </w:rPr>
      </w:pPr>
      <w:r w:rsidRPr="00281D1F">
        <w:rPr>
          <w:rFonts w:asciiTheme="minorHAnsi" w:hAnsiTheme="minorHAnsi"/>
          <w:lang w:val="sr-Cyrl-BA"/>
        </w:rPr>
        <w:t>finansiranje i finansijske pokazatelje poslovanja u 202</w:t>
      </w:r>
      <w:r>
        <w:rPr>
          <w:rFonts w:asciiTheme="minorHAnsi" w:hAnsiTheme="minorHAnsi"/>
          <w:lang w:val="sr-Latn-BA"/>
        </w:rPr>
        <w:t>4.</w:t>
      </w:r>
      <w:r w:rsidRPr="00281D1F">
        <w:rPr>
          <w:rFonts w:asciiTheme="minorHAnsi" w:hAnsiTheme="minorHAnsi"/>
          <w:lang w:val="sr-Cyrl-BA"/>
        </w:rPr>
        <w:t xml:space="preserve"> godini.</w:t>
      </w:r>
    </w:p>
    <w:p w:rsidR="005A1B74" w:rsidRPr="00281D1F" w:rsidRDefault="005A1B74" w:rsidP="002D1E7C">
      <w:pPr>
        <w:pStyle w:val="BodyText"/>
        <w:spacing w:before="120"/>
        <w:jc w:val="both"/>
        <w:rPr>
          <w:rFonts w:asciiTheme="minorHAnsi" w:hAnsiTheme="minorHAnsi"/>
          <w:noProof/>
          <w:lang w:val="sr-Cyrl-BA"/>
        </w:rPr>
      </w:pPr>
      <w:r w:rsidRPr="00281D1F">
        <w:rPr>
          <w:rFonts w:asciiTheme="minorHAnsi" w:hAnsiTheme="minorHAnsi"/>
          <w:noProof/>
          <w:lang w:val="sr-Cyrl-BA"/>
        </w:rPr>
        <w:t>Regulatorna komisija, pored ovog Izvještaja o radu koji se, u skladu sa zakonom, dostavlja Narodnoj skupštini Republike Srpske, izrađuje i Regulatorni izvještaj o tržištu električne energije, prirodnog gasa i nafte i derivata nafte u Republici Srpskoj za 202</w:t>
      </w:r>
      <w:r>
        <w:rPr>
          <w:rFonts w:asciiTheme="minorHAnsi" w:hAnsiTheme="minorHAnsi"/>
          <w:noProof/>
          <w:lang w:val="sr-Latn-BA"/>
        </w:rPr>
        <w:t>4</w:t>
      </w:r>
      <w:r w:rsidRPr="00281D1F">
        <w:rPr>
          <w:rFonts w:asciiTheme="minorHAnsi" w:hAnsiTheme="minorHAnsi"/>
          <w:noProof/>
          <w:lang w:val="sr-Cyrl-BA"/>
        </w:rPr>
        <w:t>, koji sadrži pokazatelje tržišta električne energije, prirodnog gasa i nafte i derivata nafte u Republici Srpskoj, a koji je Regulatorna komisija pripremila na osnovu podataka dobijenih od korisnika dozvola za obavljanje djelatnosti u pomenutim sektorima, uvažavajući svoje nadležnosti u pojedinim sektorima.</w:t>
      </w:r>
    </w:p>
    <w:p w:rsidR="005A1B74" w:rsidRPr="00281D1F" w:rsidRDefault="005A1B74" w:rsidP="002D1E7C">
      <w:pPr>
        <w:jc w:val="both"/>
        <w:rPr>
          <w:rFonts w:asciiTheme="minorHAnsi" w:hAnsiTheme="minorHAnsi" w:cs="Calibri"/>
          <w:b/>
          <w:bCs/>
          <w:noProof/>
          <w:lang w:val="sr-Cyrl-BA"/>
        </w:rPr>
      </w:pPr>
      <w:r w:rsidRPr="00281D1F">
        <w:rPr>
          <w:rFonts w:asciiTheme="minorHAnsi" w:hAnsiTheme="minorHAnsi"/>
          <w:noProof/>
          <w:lang w:val="sr-Cyrl-BA"/>
        </w:rPr>
        <w:t xml:space="preserve">Navedeni Regulatorni izvještaj, koji je informativnog karaktera, objavljen je i javno dostupan zainteresovanim licima na internet stranici Regulatorne komisije (www.reers.ba, rubrika </w:t>
      </w:r>
      <w:hyperlink r:id="rId10" w:history="1">
        <w:r w:rsidRPr="00281D1F">
          <w:rPr>
            <w:rStyle w:val="Hyperlink"/>
            <w:rFonts w:asciiTheme="minorHAnsi" w:hAnsiTheme="minorHAnsi"/>
            <w:noProof/>
            <w:lang w:val="sr-Cyrl-BA"/>
          </w:rPr>
          <w:t>O nama/Izvještaji o radu i regulatorni izvještaji</w:t>
        </w:r>
      </w:hyperlink>
      <w:r w:rsidRPr="00281D1F">
        <w:rPr>
          <w:rFonts w:asciiTheme="minorHAnsi" w:hAnsiTheme="minorHAnsi"/>
          <w:noProof/>
          <w:lang w:val="sr-Cyrl-BA"/>
        </w:rPr>
        <w:t>).</w:t>
      </w:r>
    </w:p>
    <w:p w:rsidR="005A1B74" w:rsidRPr="00281D1F" w:rsidRDefault="005A1B74" w:rsidP="002D1E7C">
      <w:pPr>
        <w:spacing w:before="120"/>
        <w:jc w:val="right"/>
        <w:rPr>
          <w:rFonts w:asciiTheme="minorHAnsi" w:hAnsiTheme="minorHAnsi" w:cs="Calibri"/>
          <w:bCs/>
          <w:noProof/>
          <w:lang w:val="sr-Cyrl-BA"/>
        </w:rPr>
      </w:pPr>
      <w:bookmarkStart w:id="11" w:name="_Toc420673354"/>
    </w:p>
    <w:p w:rsidR="005A1B74" w:rsidRPr="00281D1F" w:rsidRDefault="005A1B74" w:rsidP="002D1E7C">
      <w:pPr>
        <w:spacing w:before="120"/>
        <w:jc w:val="right"/>
        <w:rPr>
          <w:rFonts w:asciiTheme="minorHAnsi" w:hAnsiTheme="minorHAnsi" w:cs="Calibri"/>
          <w:b/>
          <w:bCs/>
          <w:noProof/>
          <w:lang w:val="sr-Cyrl-BA"/>
        </w:rPr>
      </w:pPr>
      <w:r w:rsidRPr="00281D1F">
        <w:rPr>
          <w:rFonts w:asciiTheme="minorHAnsi" w:hAnsiTheme="minorHAnsi" w:cs="Calibri"/>
          <w:bCs/>
          <w:noProof/>
          <w:lang w:val="sr-Cyrl-BA"/>
        </w:rPr>
        <w:t>Predsjednik</w:t>
      </w:r>
      <w:bookmarkEnd w:id="11"/>
    </w:p>
    <w:p w:rsidR="005A1B74" w:rsidRPr="00281D1F" w:rsidRDefault="005A1B74" w:rsidP="002D1E7C">
      <w:pPr>
        <w:rPr>
          <w:rFonts w:asciiTheme="minorHAnsi" w:hAnsiTheme="minorHAnsi"/>
          <w:lang w:val="sr-Cyrl-BA"/>
        </w:rPr>
      </w:pPr>
    </w:p>
    <w:p w:rsidR="005A1B74" w:rsidRPr="00281D1F" w:rsidRDefault="005A1B74" w:rsidP="002D1E7C">
      <w:pPr>
        <w:shd w:val="clear" w:color="auto" w:fill="FFFFFF"/>
        <w:jc w:val="right"/>
        <w:rPr>
          <w:rFonts w:asciiTheme="minorHAnsi" w:hAnsiTheme="minorHAnsi" w:cs="Calibri"/>
          <w:bCs/>
          <w:noProof/>
          <w:lang w:val="sr-Cyrl-BA"/>
        </w:rPr>
      </w:pPr>
      <w:r w:rsidRPr="00281D1F">
        <w:rPr>
          <w:rFonts w:asciiTheme="minorHAnsi" w:hAnsiTheme="minorHAnsi" w:cs="Calibri"/>
          <w:bCs/>
          <w:noProof/>
          <w:lang w:val="sr-Cyrl-BA"/>
        </w:rPr>
        <w:t xml:space="preserve">                    Vladislav Vladičić</w:t>
      </w:r>
      <w:r w:rsidRPr="00281D1F">
        <w:rPr>
          <w:rFonts w:asciiTheme="minorHAnsi" w:hAnsiTheme="minorHAnsi" w:cs="Calibri"/>
          <w:bCs/>
          <w:noProof/>
          <w:lang w:val="sr-Cyrl-BA"/>
        </w:rPr>
        <w:br w:type="page"/>
      </w:r>
    </w:p>
    <w:p w:rsidR="005A1B74" w:rsidRPr="00281D1F" w:rsidRDefault="005A1B74" w:rsidP="002D1E7C">
      <w:pPr>
        <w:pStyle w:val="Heading1"/>
        <w:numPr>
          <w:ilvl w:val="0"/>
          <w:numId w:val="3"/>
        </w:numPr>
        <w:tabs>
          <w:tab w:val="clear" w:pos="360"/>
          <w:tab w:val="num" w:pos="-1800"/>
        </w:tabs>
        <w:spacing w:after="240"/>
        <w:jc w:val="both"/>
        <w:rPr>
          <w:rFonts w:asciiTheme="minorHAnsi" w:hAnsiTheme="minorHAnsi" w:cs="Calibri"/>
          <w:bCs/>
          <w:sz w:val="28"/>
          <w:szCs w:val="28"/>
          <w:lang w:val="sr-Cyrl-BA"/>
        </w:rPr>
      </w:pPr>
      <w:bookmarkStart w:id="12" w:name="_Toc230868132"/>
      <w:bookmarkStart w:id="13" w:name="_Toc293411073"/>
      <w:bookmarkStart w:id="14" w:name="_Toc293414761"/>
      <w:bookmarkStart w:id="15" w:name="_Toc293563711"/>
      <w:bookmarkStart w:id="16" w:name="_Toc358640029"/>
      <w:bookmarkStart w:id="17" w:name="_Toc358640247"/>
      <w:bookmarkStart w:id="18" w:name="_Toc358640465"/>
      <w:bookmarkStart w:id="19" w:name="_Toc358640889"/>
      <w:bookmarkStart w:id="20" w:name="_Toc210301146"/>
      <w:bookmarkEnd w:id="8"/>
      <w:bookmarkEnd w:id="9"/>
      <w:bookmarkEnd w:id="10"/>
      <w:r w:rsidRPr="00281D1F">
        <w:rPr>
          <w:rFonts w:asciiTheme="minorHAnsi" w:hAnsiTheme="minorHAnsi" w:cs="Calibri"/>
          <w:bCs/>
          <w:sz w:val="28"/>
          <w:szCs w:val="28"/>
          <w:lang w:val="sr-Cyrl-BA"/>
        </w:rPr>
        <w:lastRenderedPageBreak/>
        <w:t>Pravni osnov za regulaciju energetskog sektora i nadležnosti Regulatorne komisije</w:t>
      </w:r>
      <w:bookmarkEnd w:id="12"/>
      <w:bookmarkEnd w:id="13"/>
      <w:bookmarkEnd w:id="14"/>
      <w:bookmarkEnd w:id="15"/>
      <w:bookmarkEnd w:id="16"/>
      <w:bookmarkEnd w:id="17"/>
      <w:bookmarkEnd w:id="18"/>
      <w:bookmarkEnd w:id="19"/>
      <w:bookmarkEnd w:id="20"/>
    </w:p>
    <w:p w:rsidR="005A1B74" w:rsidRPr="00281D1F" w:rsidRDefault="005A1B74" w:rsidP="002D1E7C">
      <w:pPr>
        <w:spacing w:after="120"/>
        <w:jc w:val="both"/>
        <w:rPr>
          <w:rFonts w:asciiTheme="minorHAnsi" w:hAnsiTheme="minorHAnsi"/>
          <w:sz w:val="22"/>
          <w:szCs w:val="22"/>
          <w:lang w:val="sr-Cyrl-BA"/>
        </w:rPr>
      </w:pPr>
      <w:r w:rsidRPr="00281D1F">
        <w:rPr>
          <w:rFonts w:asciiTheme="minorHAnsi" w:hAnsiTheme="minorHAnsi"/>
          <w:sz w:val="22"/>
          <w:szCs w:val="22"/>
          <w:lang w:val="sr-Cyrl-BA"/>
        </w:rPr>
        <w:t>Pravni osnov za regulaciju energetskog sektora čine:</w:t>
      </w:r>
    </w:p>
    <w:p w:rsidR="005A1B74" w:rsidRPr="00281D1F" w:rsidRDefault="005A1B74" w:rsidP="002D1E7C">
      <w:pPr>
        <w:numPr>
          <w:ilvl w:val="0"/>
          <w:numId w:val="4"/>
        </w:numPr>
        <w:tabs>
          <w:tab w:val="clear" w:pos="720"/>
          <w:tab w:val="num" w:pos="-720"/>
        </w:tabs>
        <w:spacing w:after="120"/>
        <w:ind w:left="284" w:hanging="284"/>
        <w:jc w:val="both"/>
        <w:rPr>
          <w:rFonts w:asciiTheme="minorHAnsi" w:hAnsiTheme="minorHAnsi"/>
          <w:sz w:val="22"/>
          <w:szCs w:val="22"/>
          <w:lang w:val="sr-Cyrl-BA"/>
        </w:rPr>
      </w:pPr>
      <w:r w:rsidRPr="00281D1F">
        <w:rPr>
          <w:rFonts w:asciiTheme="minorHAnsi" w:hAnsiTheme="minorHAnsi"/>
          <w:sz w:val="22"/>
          <w:szCs w:val="22"/>
          <w:lang w:val="sr-Cyrl-BA"/>
        </w:rPr>
        <w:t>zakoni:</w:t>
      </w:r>
    </w:p>
    <w:p w:rsidR="005A1B74" w:rsidRPr="00281D1F" w:rsidRDefault="005A1B74" w:rsidP="002D1E7C">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 xml:space="preserve">Zakon o energetici (Službeni glasnik Republike Srpske, broj 49/09 i 16/23), </w:t>
      </w:r>
    </w:p>
    <w:p w:rsidR="005A1B74" w:rsidRPr="00281D1F" w:rsidRDefault="005A1B74" w:rsidP="002D1E7C">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Zakon o električnoj energiji (Službeni glasnik Republike Srpske, broj 68/20),</w:t>
      </w:r>
    </w:p>
    <w:p w:rsidR="005A1B74" w:rsidRPr="00281D1F" w:rsidRDefault="005A1B74" w:rsidP="002D1E7C">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Zakon o gasu (Službeni glasnik Republike Srpske, broj 22/18 i 15/21),</w:t>
      </w:r>
    </w:p>
    <w:p w:rsidR="005A1B74" w:rsidRPr="00281D1F" w:rsidRDefault="005A1B74" w:rsidP="002D1E7C">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Zakon o nafti i derivatima nafte (Službeni glasnik Republike Srpske, broj 36/09 i 102/12)</w:t>
      </w:r>
      <w:r>
        <w:rPr>
          <w:rFonts w:asciiTheme="minorHAnsi" w:hAnsiTheme="minorHAnsi"/>
          <w:sz w:val="22"/>
          <w:szCs w:val="22"/>
          <w:lang w:val="sr-Cyrl-BA"/>
        </w:rPr>
        <w:t>,</w:t>
      </w:r>
    </w:p>
    <w:p w:rsidR="005A1B74" w:rsidRPr="00281D1F" w:rsidRDefault="005A1B74" w:rsidP="002D1E7C">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 xml:space="preserve">Zakon o obnovljivim izvorima energije (Službeni glasnik Republike Srpske, broj 16/22), kao i </w:t>
      </w:r>
    </w:p>
    <w:p w:rsidR="005A1B74" w:rsidRPr="00281D1F" w:rsidRDefault="005A1B74" w:rsidP="002D1E7C">
      <w:pPr>
        <w:numPr>
          <w:ilvl w:val="0"/>
          <w:numId w:val="4"/>
        </w:numPr>
        <w:tabs>
          <w:tab w:val="clear" w:pos="720"/>
          <w:tab w:val="num" w:pos="-720"/>
        </w:tabs>
        <w:spacing w:after="120"/>
        <w:ind w:left="284" w:hanging="284"/>
        <w:jc w:val="both"/>
        <w:rPr>
          <w:rFonts w:asciiTheme="minorHAnsi" w:hAnsiTheme="minorHAnsi"/>
          <w:sz w:val="22"/>
          <w:szCs w:val="22"/>
          <w:lang w:val="sr-Cyrl-BA"/>
        </w:rPr>
      </w:pPr>
      <w:r w:rsidRPr="00281D1F">
        <w:rPr>
          <w:rFonts w:asciiTheme="minorHAnsi" w:hAnsiTheme="minorHAnsi"/>
          <w:sz w:val="22"/>
          <w:szCs w:val="22"/>
          <w:lang w:val="sr-Cyrl-BA"/>
        </w:rPr>
        <w:t>podzakonska akta:</w:t>
      </w:r>
    </w:p>
    <w:p w:rsidR="005A1B74" w:rsidRPr="00281D1F" w:rsidRDefault="005A1B74" w:rsidP="002D1E7C">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Statut Regulatorne komisije za energetiku Republike Srpske (Službeni glasnik Republike Srpske, broj 59/21),</w:t>
      </w:r>
    </w:p>
    <w:p w:rsidR="005A1B74" w:rsidRPr="00281D1F" w:rsidRDefault="005A1B74" w:rsidP="002D1E7C">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Poslovnik o radu Regulatorne komisije za energetiku Republike Srpske (Službeni glasnik Republike Srpske, broj 59/10),</w:t>
      </w:r>
    </w:p>
    <w:p w:rsidR="005A1B74" w:rsidRPr="00281D1F" w:rsidRDefault="005A1B74" w:rsidP="002D1E7C">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Opšti uslovi za isporuku i snabdijevanje električnom energijom (Službeni glasnik Republike Srpske, broj 13/22</w:t>
      </w:r>
      <w:r>
        <w:rPr>
          <w:rFonts w:asciiTheme="minorHAnsi" w:hAnsiTheme="minorHAnsi"/>
          <w:sz w:val="22"/>
          <w:szCs w:val="22"/>
        </w:rPr>
        <w:t xml:space="preserve"> </w:t>
      </w:r>
      <w:r>
        <w:rPr>
          <w:rFonts w:asciiTheme="minorHAnsi" w:hAnsiTheme="minorHAnsi"/>
          <w:sz w:val="22"/>
          <w:szCs w:val="22"/>
          <w:lang w:val="sr-Cyrl-BA"/>
        </w:rPr>
        <w:t>i 85/24</w:t>
      </w:r>
      <w:r w:rsidRPr="00281D1F">
        <w:rPr>
          <w:rFonts w:asciiTheme="minorHAnsi" w:hAnsiTheme="minorHAnsi"/>
          <w:sz w:val="22"/>
          <w:szCs w:val="22"/>
          <w:lang w:val="sr-Cyrl-BA"/>
        </w:rPr>
        <w:t>),</w:t>
      </w:r>
    </w:p>
    <w:p w:rsidR="005A1B74" w:rsidRPr="00281D1F" w:rsidRDefault="005A1B74" w:rsidP="002D1E7C">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Pravilnik o izdavanju dozvola (Službeni glasnik Republike Srpske, broj 75/21),</w:t>
      </w:r>
    </w:p>
    <w:p w:rsidR="005A1B74" w:rsidRPr="00281D1F" w:rsidRDefault="005A1B74" w:rsidP="002D1E7C">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Metodologija za utvrđivanje naknade za korišćenje distributivne mreže i obračun cijene korišćenja zatvorenog distributivnog sistema</w:t>
      </w:r>
      <w:r w:rsidRPr="00281D1F" w:rsidDel="008B0FB9">
        <w:rPr>
          <w:rFonts w:asciiTheme="minorHAnsi" w:hAnsiTheme="minorHAnsi"/>
          <w:sz w:val="22"/>
          <w:szCs w:val="22"/>
          <w:lang w:val="sr-Cyrl-BA"/>
        </w:rPr>
        <w:t xml:space="preserve"> </w:t>
      </w:r>
      <w:r w:rsidRPr="00281D1F">
        <w:rPr>
          <w:rFonts w:asciiTheme="minorHAnsi" w:hAnsiTheme="minorHAnsi"/>
          <w:sz w:val="22"/>
          <w:szCs w:val="22"/>
          <w:lang w:val="sr-Cyrl-BA"/>
        </w:rPr>
        <w:t>(Službeni glasnik Republike Srpske, broj 11/22),</w:t>
      </w:r>
    </w:p>
    <w:p w:rsidR="005A1B74" w:rsidRPr="00281D1F" w:rsidRDefault="005A1B74" w:rsidP="002D1E7C">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Pravilnik o snabdijevanju električnom energijom i promjeni snabdjevača, (Službeni glasnik Republike Srpske, broj 74/21),</w:t>
      </w:r>
    </w:p>
    <w:p w:rsidR="005A1B74" w:rsidRPr="00281D1F" w:rsidRDefault="005A1B74" w:rsidP="002D1E7C">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Pravilnik o metodologiji za utvrđivanje cijena javnog i rezervnog snabdjevača električnom energijom (Služb</w:t>
      </w:r>
      <w:r>
        <w:rPr>
          <w:rFonts w:asciiTheme="minorHAnsi" w:hAnsiTheme="minorHAnsi"/>
          <w:sz w:val="22"/>
          <w:szCs w:val="22"/>
          <w:lang w:val="sr-Cyrl-BA"/>
        </w:rPr>
        <w:t>e</w:t>
      </w:r>
      <w:r w:rsidRPr="00281D1F">
        <w:rPr>
          <w:rFonts w:asciiTheme="minorHAnsi" w:hAnsiTheme="minorHAnsi"/>
          <w:sz w:val="22"/>
          <w:szCs w:val="22"/>
          <w:lang w:val="sr-Cyrl-BA"/>
        </w:rPr>
        <w:t>ni glasnik Republike Srpske, broj 74/21 i 119/22),</w:t>
      </w:r>
    </w:p>
    <w:p w:rsidR="005A1B74" w:rsidRPr="00C14B61" w:rsidRDefault="005A1B74" w:rsidP="002D1E7C">
      <w:pPr>
        <w:numPr>
          <w:ilvl w:val="0"/>
          <w:numId w:val="5"/>
        </w:numPr>
        <w:tabs>
          <w:tab w:val="clear" w:pos="1856"/>
          <w:tab w:val="num" w:pos="180"/>
        </w:tabs>
        <w:ind w:left="1260" w:hanging="540"/>
        <w:jc w:val="both"/>
        <w:rPr>
          <w:rFonts w:asciiTheme="minorHAnsi" w:hAnsiTheme="minorHAnsi"/>
          <w:sz w:val="22"/>
          <w:szCs w:val="22"/>
          <w:lang w:val="sr-Cyrl-BA"/>
        </w:rPr>
      </w:pPr>
      <w:bookmarkStart w:id="21" w:name="_Toc380579534"/>
      <w:bookmarkStart w:id="22" w:name="_Toc99966373"/>
      <w:bookmarkStart w:id="23" w:name="_Toc99972739"/>
      <w:bookmarkStart w:id="24" w:name="_Toc100920271"/>
      <w:bookmarkStart w:id="25" w:name="_Toc101188218"/>
      <w:bookmarkStart w:id="26" w:name="_Toc108424908"/>
      <w:r w:rsidRPr="00281D1F">
        <w:rPr>
          <w:rFonts w:asciiTheme="minorHAnsi" w:hAnsiTheme="minorHAnsi"/>
          <w:sz w:val="22"/>
          <w:szCs w:val="22"/>
          <w:lang w:val="sr-Cyrl-BA"/>
        </w:rPr>
        <w:t xml:space="preserve">Tarifni sistem za prodaju </w:t>
      </w:r>
      <w:r w:rsidRPr="00C14B61">
        <w:rPr>
          <w:rFonts w:asciiTheme="minorHAnsi" w:hAnsiTheme="minorHAnsi"/>
          <w:sz w:val="22"/>
          <w:szCs w:val="22"/>
          <w:lang w:val="sr-Cyrl-BA"/>
        </w:rPr>
        <w:t>električne energije i korišćenje distributivne mreže</w:t>
      </w:r>
      <w:bookmarkEnd w:id="21"/>
      <w:bookmarkEnd w:id="22"/>
      <w:bookmarkEnd w:id="23"/>
      <w:bookmarkEnd w:id="24"/>
      <w:bookmarkEnd w:id="25"/>
      <w:bookmarkEnd w:id="26"/>
      <w:r w:rsidRPr="00C14B61">
        <w:rPr>
          <w:rFonts w:asciiTheme="minorHAnsi" w:hAnsiTheme="minorHAnsi"/>
          <w:sz w:val="22"/>
          <w:szCs w:val="22"/>
          <w:lang w:val="sr-Cyrl-BA"/>
        </w:rPr>
        <w:t xml:space="preserve"> (Službeni glasnik Republike Srpske, broj</w:t>
      </w:r>
      <w:r w:rsidRPr="00FD3972">
        <w:rPr>
          <w:rFonts w:asciiTheme="minorHAnsi" w:hAnsiTheme="minorHAnsi"/>
          <w:sz w:val="22"/>
          <w:szCs w:val="22"/>
          <w:lang w:val="sr-Cyrl-BA"/>
        </w:rPr>
        <w:t xml:space="preserve"> 119/22, 125</w:t>
      </w:r>
      <w:r w:rsidRPr="00C14B61">
        <w:rPr>
          <w:rFonts w:asciiTheme="minorHAnsi" w:hAnsiTheme="minorHAnsi"/>
          <w:sz w:val="22"/>
          <w:szCs w:val="22"/>
          <w:lang w:val="sr-Cyrl-BA"/>
        </w:rPr>
        <w:t>/22</w:t>
      </w:r>
      <w:r w:rsidRPr="00FD3972">
        <w:rPr>
          <w:rFonts w:asciiTheme="minorHAnsi" w:hAnsiTheme="minorHAnsi"/>
          <w:sz w:val="22"/>
          <w:szCs w:val="22"/>
          <w:lang w:val="sr-Cyrl-BA"/>
        </w:rPr>
        <w:t xml:space="preserve"> i 24/24 </w:t>
      </w:r>
      <w:r w:rsidRPr="00C14B61">
        <w:rPr>
          <w:rFonts w:asciiTheme="minorHAnsi" w:hAnsiTheme="minorHAnsi"/>
          <w:sz w:val="22"/>
          <w:szCs w:val="22"/>
          <w:lang w:val="sr-Cyrl-BA"/>
        </w:rPr>
        <w:t>),</w:t>
      </w:r>
    </w:p>
    <w:p w:rsidR="005A1B74" w:rsidRDefault="005A1B74" w:rsidP="002D1E7C">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Pravilnik o metodologiji za utvrđivanje naknade za priključenje na distributivnu mrežu (Službeni glasnik Republike Srpske, broj  123/08),</w:t>
      </w:r>
    </w:p>
    <w:p w:rsidR="005A1B74" w:rsidRPr="00FD3972" w:rsidRDefault="005A1B74" w:rsidP="002D1E7C">
      <w:pPr>
        <w:numPr>
          <w:ilvl w:val="0"/>
          <w:numId w:val="5"/>
        </w:numPr>
        <w:tabs>
          <w:tab w:val="clear" w:pos="1856"/>
          <w:tab w:val="num" w:pos="180"/>
        </w:tabs>
        <w:ind w:left="1260" w:hanging="540"/>
        <w:jc w:val="both"/>
        <w:rPr>
          <w:rFonts w:asciiTheme="minorHAnsi" w:hAnsiTheme="minorHAnsi"/>
          <w:sz w:val="22"/>
          <w:szCs w:val="22"/>
          <w:lang w:val="sr-Cyrl-BA"/>
        </w:rPr>
      </w:pPr>
      <w:r w:rsidRPr="007459C3">
        <w:rPr>
          <w:rFonts w:asciiTheme="minorHAnsi" w:hAnsiTheme="minorHAnsi"/>
          <w:sz w:val="22"/>
          <w:szCs w:val="22"/>
          <w:lang w:val="sr-Cyrl-BA"/>
        </w:rPr>
        <w:t>Pravilnik o regulaciji kvaliteta snabdijevanja električnom energijom (Službeni glasnik Republike Srpske, broj  1/23)</w:t>
      </w:r>
      <w:r w:rsidRPr="007459C3">
        <w:rPr>
          <w:rFonts w:asciiTheme="minorHAnsi" w:hAnsiTheme="minorHAnsi"/>
          <w:sz w:val="22"/>
          <w:szCs w:val="22"/>
          <w:lang w:val="bs-Latn-BA"/>
        </w:rPr>
        <w:t>,</w:t>
      </w:r>
    </w:p>
    <w:p w:rsidR="005A1B74" w:rsidRPr="00281D1F" w:rsidRDefault="005A1B74" w:rsidP="002D1E7C">
      <w:pPr>
        <w:numPr>
          <w:ilvl w:val="0"/>
          <w:numId w:val="5"/>
        </w:numPr>
        <w:tabs>
          <w:tab w:val="clear" w:pos="1856"/>
          <w:tab w:val="num" w:pos="180"/>
        </w:tabs>
        <w:ind w:left="1260" w:hanging="540"/>
        <w:jc w:val="both"/>
        <w:rPr>
          <w:rFonts w:asciiTheme="minorHAnsi" w:hAnsiTheme="minorHAnsi"/>
          <w:sz w:val="22"/>
          <w:szCs w:val="22"/>
          <w:lang w:val="sr-Cyrl-BA"/>
        </w:rPr>
      </w:pPr>
      <w:bookmarkStart w:id="27" w:name="_Toc388957908"/>
      <w:bookmarkStart w:id="28" w:name="_Toc384583064"/>
      <w:bookmarkStart w:id="29" w:name="_Toc380579530"/>
      <w:bookmarkStart w:id="30" w:name="_Toc385241334"/>
      <w:r w:rsidRPr="00281D1F">
        <w:rPr>
          <w:rFonts w:asciiTheme="minorHAnsi" w:hAnsiTheme="minorHAnsi"/>
          <w:sz w:val="22"/>
          <w:szCs w:val="22"/>
          <w:lang w:val="sr-Cyrl-BA"/>
        </w:rPr>
        <w:t>Pravilnik</w:t>
      </w:r>
      <w:bookmarkEnd w:id="27"/>
      <w:r w:rsidRPr="00281D1F">
        <w:rPr>
          <w:rFonts w:asciiTheme="minorHAnsi" w:hAnsiTheme="minorHAnsi"/>
          <w:sz w:val="22"/>
          <w:szCs w:val="22"/>
          <w:lang w:val="sr-Cyrl-BA"/>
        </w:rPr>
        <w:t xml:space="preserve"> </w:t>
      </w:r>
      <w:bookmarkStart w:id="31" w:name="_Toc388957909"/>
      <w:r w:rsidRPr="00281D1F">
        <w:rPr>
          <w:rFonts w:asciiTheme="minorHAnsi" w:hAnsiTheme="minorHAnsi"/>
          <w:sz w:val="22"/>
          <w:szCs w:val="22"/>
          <w:lang w:val="sr-Cyrl-BA"/>
        </w:rPr>
        <w:t>o tarifnoj metodologiji i tarifnom sistemu za transport i skladištenje</w:t>
      </w:r>
      <w:bookmarkEnd w:id="28"/>
      <w:r w:rsidRPr="00281D1F">
        <w:rPr>
          <w:rFonts w:asciiTheme="minorHAnsi" w:hAnsiTheme="minorHAnsi"/>
          <w:sz w:val="22"/>
          <w:szCs w:val="22"/>
          <w:lang w:val="sr-Cyrl-BA"/>
        </w:rPr>
        <w:t xml:space="preserve"> </w:t>
      </w:r>
      <w:bookmarkStart w:id="32" w:name="_Toc380579531"/>
      <w:bookmarkStart w:id="33" w:name="_Toc384583065"/>
      <w:bookmarkEnd w:id="29"/>
      <w:r w:rsidRPr="00281D1F">
        <w:rPr>
          <w:rFonts w:asciiTheme="minorHAnsi" w:hAnsiTheme="minorHAnsi"/>
          <w:sz w:val="22"/>
          <w:szCs w:val="22"/>
          <w:lang w:val="sr-Cyrl-BA"/>
        </w:rPr>
        <w:t>prirodnog gas</w:t>
      </w:r>
      <w:bookmarkEnd w:id="32"/>
      <w:r w:rsidRPr="00281D1F">
        <w:rPr>
          <w:rFonts w:asciiTheme="minorHAnsi" w:hAnsiTheme="minorHAnsi"/>
          <w:sz w:val="22"/>
          <w:szCs w:val="22"/>
          <w:lang w:val="sr-Cyrl-BA"/>
        </w:rPr>
        <w:t>a</w:t>
      </w:r>
      <w:bookmarkEnd w:id="30"/>
      <w:bookmarkEnd w:id="31"/>
      <w:bookmarkEnd w:id="33"/>
      <w:r w:rsidRPr="00281D1F">
        <w:rPr>
          <w:rFonts w:asciiTheme="minorHAnsi" w:hAnsiTheme="minorHAnsi"/>
          <w:sz w:val="22"/>
          <w:szCs w:val="22"/>
          <w:lang w:val="sr-Cyrl-BA"/>
        </w:rPr>
        <w:t xml:space="preserve"> (Službeni glasnik Republike Srpske, broj 77/22),</w:t>
      </w:r>
    </w:p>
    <w:p w:rsidR="005A1B74" w:rsidRPr="00281D1F" w:rsidRDefault="005A1B74" w:rsidP="002D1E7C">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Pravilnik o tarifnoj metodologiji i tarifnom postupku za distribuciju prirodnog gasa i snabdijevanje prirodnim gasom (Službeni glasnik Republike Srpske, broj 111/22),</w:t>
      </w:r>
    </w:p>
    <w:p w:rsidR="005A1B74" w:rsidRPr="00281D1F" w:rsidRDefault="005A1B74" w:rsidP="002D1E7C">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Pravilnik o javnom snabdijevanju prirodnim gasom (Službeni glasnik Republike Srpske, broj 111/22),</w:t>
      </w:r>
    </w:p>
    <w:p w:rsidR="005A1B74" w:rsidRPr="00281D1F" w:rsidRDefault="005A1B74" w:rsidP="002D1E7C">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Pravilnik o metodologiji za obračunavanje troškova priključenja na distributivni ili transportni sistem prirodnog gasa (Službeni glasnik Republike Srpske, broj 51/14),</w:t>
      </w:r>
    </w:p>
    <w:p w:rsidR="005A1B74" w:rsidRPr="00281D1F" w:rsidRDefault="005A1B74" w:rsidP="002D1E7C">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Pravilnik o sertifikaciji operatora transportnog sistema prirodnog gasa (Službeni glasnik Republike Srpske, broj 31/19),</w:t>
      </w:r>
    </w:p>
    <w:p w:rsidR="005A1B74" w:rsidRPr="00281D1F" w:rsidRDefault="005A1B74" w:rsidP="002D1E7C">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Pravilnik o izgradnji direktnih gasovoda (Službeni glasnik Republike Srpske, broj 34/19),</w:t>
      </w:r>
    </w:p>
    <w:p w:rsidR="005A1B74" w:rsidRPr="00281D1F" w:rsidRDefault="005A1B74" w:rsidP="002D1E7C">
      <w:pPr>
        <w:numPr>
          <w:ilvl w:val="0"/>
          <w:numId w:val="5"/>
        </w:numPr>
        <w:tabs>
          <w:tab w:val="clear" w:pos="1856"/>
          <w:tab w:val="num" w:pos="180"/>
        </w:tabs>
        <w:ind w:left="1260" w:hanging="540"/>
        <w:jc w:val="both"/>
        <w:rPr>
          <w:rFonts w:ascii="Arial" w:eastAsia="Calibri" w:hAnsi="Arial" w:cs="Arial"/>
          <w:sz w:val="20"/>
          <w:szCs w:val="20"/>
          <w:lang w:val="sr-Cyrl-BA"/>
        </w:rPr>
      </w:pPr>
      <w:r w:rsidRPr="00281D1F">
        <w:rPr>
          <w:rFonts w:asciiTheme="minorHAnsi" w:hAnsiTheme="minorHAnsi"/>
          <w:sz w:val="22"/>
          <w:szCs w:val="22"/>
          <w:lang w:val="sr-Cyrl-BA"/>
        </w:rPr>
        <w:t>Pravilnik o promjeni snabdjevača prirodnim gasom (Službeni glasnik Republike Srpske, broj 38/19),</w:t>
      </w:r>
    </w:p>
    <w:p w:rsidR="005A1B74" w:rsidRPr="00281D1F" w:rsidRDefault="005A1B74" w:rsidP="002D1E7C">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cs="Arial"/>
          <w:sz w:val="22"/>
          <w:szCs w:val="22"/>
          <w:lang w:val="sr-Cyrl-BA"/>
        </w:rPr>
        <w:t xml:space="preserve">Pravilnik o snabdijevanju posljednjeg izbora prirodnim gasom </w:t>
      </w:r>
      <w:r w:rsidRPr="00281D1F">
        <w:rPr>
          <w:rFonts w:asciiTheme="minorHAnsi" w:eastAsia="Calibri" w:hAnsiTheme="minorHAnsi" w:cs="Arial"/>
          <w:sz w:val="22"/>
          <w:szCs w:val="22"/>
          <w:lang w:val="sr-Cyrl-BA"/>
        </w:rPr>
        <w:t>(Službeni glasnik Republike Srpske, broj 38/19),</w:t>
      </w:r>
    </w:p>
    <w:p w:rsidR="005A1B74" w:rsidRPr="00281D1F" w:rsidRDefault="005A1B74" w:rsidP="002D1E7C">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lastRenderedPageBreak/>
        <w:t>Pravilnik o javnom razmatranju i postupku rješavanja sporova (Službeni glasnik Republike Srpske, broj 74/21),</w:t>
      </w:r>
    </w:p>
    <w:p w:rsidR="005A1B74" w:rsidRPr="00281D1F" w:rsidRDefault="005A1B74" w:rsidP="002D1E7C">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Pravilnik o povjerljivim informacijama (Službeni glasnik Republike Srpske, broj 10/07),</w:t>
      </w:r>
    </w:p>
    <w:p w:rsidR="005A1B74" w:rsidRPr="00281D1F" w:rsidRDefault="005A1B74" w:rsidP="002D1E7C">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Pravilnik o izvještavanju (Službeni glasnik Republike Srpske, broj 64/12),</w:t>
      </w:r>
    </w:p>
    <w:p w:rsidR="005A1B74" w:rsidRPr="007459C3" w:rsidRDefault="005A1B74" w:rsidP="002D1E7C">
      <w:pPr>
        <w:numPr>
          <w:ilvl w:val="0"/>
          <w:numId w:val="5"/>
        </w:numPr>
        <w:tabs>
          <w:tab w:val="clear" w:pos="1856"/>
          <w:tab w:val="num" w:pos="180"/>
        </w:tabs>
        <w:ind w:left="1260" w:hanging="540"/>
        <w:jc w:val="both"/>
        <w:rPr>
          <w:rFonts w:asciiTheme="minorHAnsi" w:hAnsiTheme="minorHAnsi"/>
          <w:sz w:val="22"/>
          <w:szCs w:val="22"/>
          <w:lang w:val="sr-Cyrl-BA"/>
        </w:rPr>
      </w:pPr>
      <w:r w:rsidRPr="007459C3">
        <w:rPr>
          <w:rFonts w:asciiTheme="minorHAnsi" w:hAnsiTheme="minorHAnsi"/>
          <w:sz w:val="22"/>
          <w:szCs w:val="22"/>
          <w:lang w:val="sr-Cyrl-BA"/>
        </w:rPr>
        <w:t>Pravilnik o izdavanju sertifikata za proizvodno postrojenje koje proizvodi električnu energiju iz obnovljivih izvora energije (Službeni glasnik Republike Srpske, broj 70</w:t>
      </w:r>
      <w:r w:rsidRPr="007459C3">
        <w:rPr>
          <w:rFonts w:asciiTheme="minorHAnsi" w:hAnsiTheme="minorHAnsi"/>
          <w:bCs/>
          <w:sz w:val="22"/>
          <w:szCs w:val="22"/>
          <w:lang w:val="sr-Cyrl-BA"/>
        </w:rPr>
        <w:t>/23</w:t>
      </w:r>
      <w:r w:rsidRPr="007459C3">
        <w:rPr>
          <w:rFonts w:asciiTheme="minorHAnsi" w:hAnsiTheme="minorHAnsi"/>
          <w:sz w:val="22"/>
          <w:szCs w:val="22"/>
          <w:lang w:val="sr-Cyrl-BA"/>
        </w:rPr>
        <w:t>),</w:t>
      </w:r>
    </w:p>
    <w:p w:rsidR="005A1B74" w:rsidRDefault="005A1B74" w:rsidP="002D1E7C">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 xml:space="preserve">Pravilnik o izdavanju sertifikata za proizvodno postrojenje koje proizvodi električnu energiju iz obnovljivih izvora energije (Službeni glasnik Republike Srpske, broj 70/23), </w:t>
      </w:r>
    </w:p>
    <w:p w:rsidR="005A1B74" w:rsidRPr="00F11940" w:rsidRDefault="005A1B74" w:rsidP="002D1E7C">
      <w:pPr>
        <w:numPr>
          <w:ilvl w:val="0"/>
          <w:numId w:val="5"/>
        </w:numPr>
        <w:tabs>
          <w:tab w:val="clear" w:pos="1856"/>
          <w:tab w:val="num" w:pos="180"/>
        </w:tabs>
        <w:ind w:left="1260" w:hanging="540"/>
        <w:jc w:val="both"/>
        <w:rPr>
          <w:rFonts w:asciiTheme="minorHAnsi" w:hAnsiTheme="minorHAnsi" w:cstheme="minorHAnsi"/>
          <w:sz w:val="22"/>
          <w:szCs w:val="22"/>
          <w:lang w:val="sr-Cyrl-BA"/>
        </w:rPr>
      </w:pPr>
      <w:r>
        <w:rPr>
          <w:rFonts w:asciiTheme="minorHAnsi" w:hAnsiTheme="minorHAnsi" w:cstheme="minorHAnsi"/>
          <w:sz w:val="22"/>
          <w:szCs w:val="22"/>
          <w:lang w:val="sr-Cyrl-BA"/>
        </w:rPr>
        <w:t>Pravilnik o kupcima-proizvođačima električne energije (Službeni glasnik Republike Srpske, broj 80/23)</w:t>
      </w:r>
    </w:p>
    <w:p w:rsidR="005A1B74" w:rsidRPr="00281D1F" w:rsidRDefault="005A1B74" w:rsidP="002D1E7C">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Pravilnik o izdavanju garancija o porijeklu električne energije (Službeni glasnik Republike Srpske, broj 1/14),</w:t>
      </w:r>
    </w:p>
    <w:p w:rsidR="005A1B74" w:rsidRDefault="005A1B74" w:rsidP="002D1E7C">
      <w:pPr>
        <w:numPr>
          <w:ilvl w:val="0"/>
          <w:numId w:val="5"/>
        </w:numPr>
        <w:tabs>
          <w:tab w:val="clear" w:pos="1856"/>
          <w:tab w:val="num" w:pos="180"/>
        </w:tabs>
        <w:ind w:left="1260" w:hanging="540"/>
        <w:jc w:val="both"/>
        <w:rPr>
          <w:rFonts w:asciiTheme="minorHAnsi" w:hAnsiTheme="minorHAnsi" w:cstheme="minorHAnsi"/>
          <w:sz w:val="22"/>
          <w:szCs w:val="22"/>
          <w:lang w:val="sr-Cyrl-BA"/>
        </w:rPr>
      </w:pPr>
      <w:r w:rsidRPr="00281D1F">
        <w:rPr>
          <w:rFonts w:asciiTheme="minorHAnsi" w:hAnsiTheme="minorHAnsi"/>
          <w:sz w:val="22"/>
          <w:szCs w:val="22"/>
          <w:lang w:val="sr-Cyrl-BA"/>
        </w:rPr>
        <w:t>Pravilnik o podsticanju proizvodnje električne energije iz obnovljivih izvora (Službeni glasnik Republike Srpske, broj 102/23</w:t>
      </w:r>
      <w:r w:rsidRPr="007459C3">
        <w:rPr>
          <w:rFonts w:asciiTheme="minorHAnsi" w:hAnsiTheme="minorHAnsi" w:cstheme="minorHAnsi"/>
          <w:sz w:val="22"/>
          <w:szCs w:val="22"/>
          <w:lang w:val="sr-Cyrl-BA"/>
        </w:rPr>
        <w:t>, 2/24 i 6/25</w:t>
      </w:r>
      <w:r w:rsidRPr="008D2CE8">
        <w:rPr>
          <w:rFonts w:asciiTheme="minorHAnsi" w:hAnsiTheme="minorHAnsi" w:cstheme="minorHAnsi"/>
          <w:sz w:val="22"/>
          <w:szCs w:val="22"/>
          <w:lang w:val="sr-Cyrl-BA"/>
        </w:rPr>
        <w:t>),</w:t>
      </w:r>
    </w:p>
    <w:p w:rsidR="005A1B74" w:rsidRDefault="005A1B74" w:rsidP="002D1E7C">
      <w:pPr>
        <w:numPr>
          <w:ilvl w:val="0"/>
          <w:numId w:val="5"/>
        </w:numPr>
        <w:tabs>
          <w:tab w:val="clear" w:pos="1856"/>
          <w:tab w:val="num" w:pos="180"/>
        </w:tabs>
        <w:ind w:left="1260" w:hanging="540"/>
        <w:jc w:val="both"/>
        <w:rPr>
          <w:rFonts w:asciiTheme="minorHAnsi" w:hAnsiTheme="minorHAnsi" w:cstheme="minorHAnsi"/>
          <w:sz w:val="22"/>
          <w:szCs w:val="22"/>
          <w:lang w:val="sr-Cyrl-BA"/>
        </w:rPr>
      </w:pPr>
      <w:r>
        <w:rPr>
          <w:rFonts w:asciiTheme="minorHAnsi" w:hAnsiTheme="minorHAnsi"/>
          <w:sz w:val="22"/>
          <w:szCs w:val="22"/>
          <w:lang w:val="sr-Cyrl-BA"/>
        </w:rPr>
        <w:t>Pravilnik o aukcijama (</w:t>
      </w:r>
      <w:r w:rsidRPr="00281D1F">
        <w:rPr>
          <w:rFonts w:asciiTheme="minorHAnsi" w:hAnsiTheme="minorHAnsi"/>
          <w:sz w:val="22"/>
          <w:szCs w:val="22"/>
          <w:lang w:val="sr-Cyrl-BA"/>
        </w:rPr>
        <w:t xml:space="preserve">Službeni glasnik Republike Srpske, broj </w:t>
      </w:r>
      <w:r>
        <w:rPr>
          <w:rFonts w:asciiTheme="minorHAnsi" w:hAnsiTheme="minorHAnsi"/>
          <w:sz w:val="22"/>
          <w:szCs w:val="22"/>
          <w:lang w:val="sr-Cyrl-BA"/>
        </w:rPr>
        <w:t>1</w:t>
      </w:r>
      <w:r w:rsidRPr="00BC6921">
        <w:rPr>
          <w:rFonts w:asciiTheme="minorHAnsi" w:hAnsiTheme="minorHAnsi" w:cstheme="minorHAnsi"/>
          <w:sz w:val="22"/>
          <w:szCs w:val="22"/>
          <w:lang w:val="sr-Cyrl-BA"/>
        </w:rPr>
        <w:t>/24</w:t>
      </w:r>
      <w:r w:rsidRPr="008D2CE8">
        <w:rPr>
          <w:rFonts w:asciiTheme="minorHAnsi" w:hAnsiTheme="minorHAnsi" w:cstheme="minorHAnsi"/>
          <w:sz w:val="22"/>
          <w:szCs w:val="22"/>
          <w:lang w:val="sr-Cyrl-BA"/>
        </w:rPr>
        <w:t>),</w:t>
      </w:r>
    </w:p>
    <w:p w:rsidR="005A1B74" w:rsidRPr="00281D1F" w:rsidRDefault="005A1B74" w:rsidP="002D1E7C">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 xml:space="preserve">Odluka o jedinstvenom regulatornom kontnom planu (Službeni glasnik Republike Srpske, broj  39/10), </w:t>
      </w:r>
    </w:p>
    <w:p w:rsidR="005A1B74" w:rsidRPr="007459C3" w:rsidRDefault="005A1B74" w:rsidP="002D1E7C">
      <w:pPr>
        <w:numPr>
          <w:ilvl w:val="0"/>
          <w:numId w:val="5"/>
        </w:numPr>
        <w:tabs>
          <w:tab w:val="clear" w:pos="1856"/>
          <w:tab w:val="num" w:pos="180"/>
        </w:tabs>
        <w:ind w:left="1260" w:hanging="540"/>
        <w:jc w:val="both"/>
        <w:rPr>
          <w:rFonts w:asciiTheme="minorHAnsi" w:hAnsiTheme="minorHAnsi"/>
          <w:sz w:val="22"/>
          <w:szCs w:val="22"/>
          <w:lang w:val="sr-Cyrl-BA"/>
        </w:rPr>
      </w:pPr>
      <w:r w:rsidRPr="007459C3">
        <w:rPr>
          <w:rFonts w:asciiTheme="minorHAnsi" w:hAnsiTheme="minorHAnsi"/>
          <w:sz w:val="22"/>
          <w:szCs w:val="22"/>
          <w:lang w:val="sr-Cyrl-BA"/>
        </w:rPr>
        <w:t>Odluka o visini jednokratnih regulatornih naknada (Službeni glasnik Republike Srpske, broj 102/23 i 20/24),</w:t>
      </w:r>
    </w:p>
    <w:p w:rsidR="005A1B74" w:rsidRPr="00281D1F" w:rsidRDefault="005A1B74" w:rsidP="002D1E7C">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Odluka o visini garantovanih otkupnih cijena i premija za električnu energiju proizvedenu iz obnovljivih izvora (Službeni glasnik Republike Srpske, broj 78/22),</w:t>
      </w:r>
    </w:p>
    <w:p w:rsidR="005A1B74" w:rsidRDefault="005A1B74" w:rsidP="002D1E7C">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Odluka o visini naknade za podsticanje proizvodnje električne energije iz obnovljivih izvora ili u efikasnoj kogeneraciji (Službeni glasnik Republike Srpske, broj 127/22),</w:t>
      </w:r>
    </w:p>
    <w:p w:rsidR="005A1B74" w:rsidRPr="00281D1F" w:rsidRDefault="005A1B74" w:rsidP="002D1E7C">
      <w:pPr>
        <w:numPr>
          <w:ilvl w:val="0"/>
          <w:numId w:val="5"/>
        </w:numPr>
        <w:tabs>
          <w:tab w:val="clear" w:pos="1856"/>
          <w:tab w:val="num" w:pos="180"/>
        </w:tabs>
        <w:ind w:left="1260" w:hanging="540"/>
        <w:jc w:val="both"/>
        <w:rPr>
          <w:rFonts w:asciiTheme="minorHAnsi" w:hAnsiTheme="minorHAnsi"/>
          <w:sz w:val="22"/>
          <w:szCs w:val="22"/>
          <w:lang w:val="sr-Cyrl-BA"/>
        </w:rPr>
      </w:pPr>
      <w:r w:rsidRPr="007459C3">
        <w:rPr>
          <w:rFonts w:asciiTheme="minorHAnsi" w:hAnsiTheme="minorHAnsi"/>
          <w:sz w:val="22"/>
          <w:szCs w:val="22"/>
          <w:lang w:val="sr-Cyrl-BA"/>
        </w:rPr>
        <w:t>Odluka o odobravanju cijene energije i tarifnih stavova za javno snabdijevanje</w:t>
      </w:r>
      <w:r>
        <w:rPr>
          <w:rFonts w:asciiTheme="minorHAnsi" w:hAnsiTheme="minorHAnsi"/>
          <w:sz w:val="22"/>
          <w:szCs w:val="22"/>
          <w:lang w:val="sr-Cyrl-BA"/>
        </w:rPr>
        <w:t xml:space="preserve"> (Službeni glasnik Republike Srpske, broj 114/24)</w:t>
      </w:r>
      <w:r w:rsidRPr="007459C3">
        <w:rPr>
          <w:rFonts w:asciiTheme="minorHAnsi" w:hAnsiTheme="minorHAnsi"/>
          <w:sz w:val="22"/>
          <w:szCs w:val="22"/>
          <w:lang w:val="sr-Cyrl-BA"/>
        </w:rPr>
        <w:t>,</w:t>
      </w:r>
    </w:p>
    <w:p w:rsidR="005A1B74" w:rsidRPr="00281D1F" w:rsidRDefault="005A1B74" w:rsidP="002D1E7C">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 xml:space="preserve">Odluka o visini referentne tržišne cijene električne energije u sistemu podsticaja, </w:t>
      </w:r>
    </w:p>
    <w:p w:rsidR="005A1B74" w:rsidRPr="00281D1F" w:rsidRDefault="005A1B74" w:rsidP="002D1E7C">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 xml:space="preserve">Odluka o visini maloprodajne referentne cijene električne energije i </w:t>
      </w:r>
    </w:p>
    <w:p w:rsidR="005A1B74" w:rsidRPr="00281D1F" w:rsidRDefault="005A1B74" w:rsidP="002D1E7C">
      <w:pPr>
        <w:numPr>
          <w:ilvl w:val="0"/>
          <w:numId w:val="5"/>
        </w:numPr>
        <w:tabs>
          <w:tab w:val="clear" w:pos="1856"/>
          <w:tab w:val="num" w:pos="180"/>
        </w:tabs>
        <w:ind w:left="1260" w:hanging="540"/>
        <w:jc w:val="both"/>
        <w:rPr>
          <w:rFonts w:asciiTheme="minorHAnsi" w:hAnsiTheme="minorHAnsi"/>
          <w:sz w:val="22"/>
          <w:szCs w:val="22"/>
          <w:lang w:val="sr-Cyrl-BA"/>
        </w:rPr>
      </w:pPr>
      <w:r w:rsidRPr="00281D1F">
        <w:rPr>
          <w:rFonts w:asciiTheme="minorHAnsi" w:hAnsiTheme="minorHAnsi"/>
          <w:sz w:val="22"/>
          <w:szCs w:val="22"/>
          <w:lang w:val="sr-Cyrl-BA"/>
        </w:rPr>
        <w:t>Odluka o davanju saglasnosti na Pravila rada za sprovođenje sistema podsticanja (Službeni glasnik Republike Srpske, broj 03/20)</w:t>
      </w:r>
    </w:p>
    <w:p w:rsidR="005A1B74" w:rsidRPr="00281D1F" w:rsidRDefault="005A1B74" w:rsidP="002D1E7C">
      <w:pPr>
        <w:ind w:left="1260"/>
        <w:jc w:val="both"/>
        <w:rPr>
          <w:rFonts w:asciiTheme="minorHAnsi" w:hAnsiTheme="minorHAnsi"/>
          <w:sz w:val="22"/>
          <w:szCs w:val="22"/>
          <w:lang w:val="sr-Cyrl-BA"/>
        </w:rPr>
      </w:pPr>
    </w:p>
    <w:p w:rsidR="005A1B74" w:rsidRPr="00281D1F" w:rsidRDefault="005A1B74" w:rsidP="002D1E7C">
      <w:pPr>
        <w:spacing w:after="120"/>
        <w:jc w:val="both"/>
        <w:rPr>
          <w:rFonts w:asciiTheme="minorHAnsi" w:hAnsiTheme="minorHAnsi"/>
          <w:sz w:val="22"/>
          <w:szCs w:val="22"/>
          <w:lang w:val="sr-Cyrl-BA"/>
        </w:rPr>
      </w:pPr>
      <w:r w:rsidRPr="00281D1F">
        <w:rPr>
          <w:rFonts w:asciiTheme="minorHAnsi" w:hAnsiTheme="minorHAnsi"/>
          <w:sz w:val="22"/>
          <w:szCs w:val="22"/>
          <w:lang w:val="sr-Cyrl-BA"/>
        </w:rPr>
        <w:t>Osnovne nadležnosti Regulatorne komisije u sektoru električne energije su propisane odredbama Zakona o električnoj energiji i odnose se na sljedeće:</w:t>
      </w:r>
    </w:p>
    <w:p w:rsidR="005A1B74" w:rsidRPr="00281D1F" w:rsidRDefault="005A1B74" w:rsidP="002D1E7C">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uređivanje odnosa između proizvodnje, distribucije, snabdijevanja i kupaca električne energije, uključujući i trgovce električnom energijom,</w:t>
      </w:r>
    </w:p>
    <w:p w:rsidR="005A1B74" w:rsidRPr="00281D1F" w:rsidRDefault="005A1B74" w:rsidP="002D1E7C">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vršenje nadzora nad radom elektroenergetskih subjekata na tržištu električne energije,</w:t>
      </w:r>
    </w:p>
    <w:p w:rsidR="005A1B74" w:rsidRPr="00281D1F" w:rsidRDefault="005A1B74" w:rsidP="002D1E7C">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izdavanje i oduzimanje dozvole za obavljanje elektroenergetskih djelatnosti i vođenje registra dozvola,</w:t>
      </w:r>
    </w:p>
    <w:p w:rsidR="005A1B74" w:rsidRPr="00281D1F" w:rsidRDefault="005A1B74" w:rsidP="002D1E7C">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donošenje metodologije za utvrđivanje naknade za korišćenje distributivne mreže (distributivna mrežna tarifa) i obračuna cijena korišćenja zatvorenog distributivnog sistema,</w:t>
      </w:r>
    </w:p>
    <w:p w:rsidR="005A1B74" w:rsidRPr="00281D1F" w:rsidRDefault="005A1B74" w:rsidP="002D1E7C">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 xml:space="preserve">donošenje tarifnog sistema za prodaju električne energije i korišćenje distributivne mreže, </w:t>
      </w:r>
    </w:p>
    <w:p w:rsidR="005A1B74" w:rsidRPr="00281D1F" w:rsidRDefault="005A1B74" w:rsidP="002D1E7C">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utvrđivanje tarifnih stavova za korisnike distributivnih sistema (distributivna mrežna tarifa),</w:t>
      </w:r>
    </w:p>
    <w:p w:rsidR="005A1B74" w:rsidRPr="00281D1F" w:rsidRDefault="005A1B74" w:rsidP="002D1E7C">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utvrđivanje načina poravnanja prihoda ostvarenih primjenom jedinstvenih tarifnih stavova za korišćenje distributivne mreže na teritoriji Republike Srpske,</w:t>
      </w:r>
    </w:p>
    <w:p w:rsidR="005A1B74" w:rsidRPr="00281D1F" w:rsidRDefault="005A1B74" w:rsidP="002D1E7C">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davanje saglasnosti na tarifne stavove za korisnike zatvorenih distributivnih sistema, te u slučaju neusaglašenosti sa metodologijom utvrđivanje propisanih tarifnih stavova,</w:t>
      </w:r>
    </w:p>
    <w:p w:rsidR="005A1B74" w:rsidRPr="00281D1F" w:rsidRDefault="005A1B74" w:rsidP="002D1E7C">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 xml:space="preserve">donošenje metodologije za utvrđivanje naknade za priključenje na distributivnu mrežu, </w:t>
      </w:r>
    </w:p>
    <w:p w:rsidR="005A1B74" w:rsidRPr="00281D1F" w:rsidRDefault="005A1B74" w:rsidP="002D1E7C">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utvrđivanje naknade za priključenje koju plaćaju korisnici za priključenje na distributivnu mrežu,</w:t>
      </w:r>
    </w:p>
    <w:p w:rsidR="005A1B74" w:rsidRPr="00281D1F" w:rsidRDefault="005A1B74" w:rsidP="002D1E7C">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 xml:space="preserve">izradu i javno objavljivanje na svojoj internet stranici godišnjeg izvještaja o tržištu električne energije, uključujući podatke o nivou razvoja tržišta, te ostvarenom nivou konkurentnosti, </w:t>
      </w:r>
    </w:p>
    <w:p w:rsidR="005A1B74" w:rsidRPr="00281D1F" w:rsidRDefault="005A1B74" w:rsidP="002D1E7C">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donošenje metodologije za utvrđivanje cijena javnog snabdijevanja,</w:t>
      </w:r>
    </w:p>
    <w:p w:rsidR="005A1B74" w:rsidRPr="00281D1F" w:rsidRDefault="005A1B74" w:rsidP="002D1E7C">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lastRenderedPageBreak/>
        <w:t xml:space="preserve">odobravanje cijene javnog snabdijevanja kupaca koji imaju pravo na univerzalnu uslugu, </w:t>
      </w:r>
    </w:p>
    <w:p w:rsidR="005A1B74" w:rsidRPr="00281D1F" w:rsidRDefault="005A1B74" w:rsidP="002D1E7C">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donošenje metodologije za utvrđivanje cijene rezervnog snabdijevanja, te praćenje njene primjene,</w:t>
      </w:r>
    </w:p>
    <w:p w:rsidR="005A1B74" w:rsidRPr="00281D1F" w:rsidRDefault="005A1B74" w:rsidP="002D1E7C">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donošenje metodologije za obračun neovlašćeno utrošene električne energije,</w:t>
      </w:r>
    </w:p>
    <w:p w:rsidR="005A1B74" w:rsidRPr="00281D1F" w:rsidRDefault="005A1B74" w:rsidP="002D1E7C">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davanje saglasnosti na cjenovnik nestandardnih usluga operatora distributivnog sistema,</w:t>
      </w:r>
    </w:p>
    <w:p w:rsidR="005A1B74" w:rsidRPr="00281D1F" w:rsidRDefault="005A1B74" w:rsidP="002D1E7C">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vršenje nadzora nad primjenom tarifa, naknada i cijena utvrđenih u skladu sa ovim zakonom,</w:t>
      </w:r>
    </w:p>
    <w:p w:rsidR="005A1B74" w:rsidRPr="00281D1F" w:rsidRDefault="005A1B74" w:rsidP="002D1E7C">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davanje saglasnosti na desetogodišnji plan razvoja i trogodišnji plan investicija operatora distributivnog sistema,</w:t>
      </w:r>
    </w:p>
    <w:p w:rsidR="005A1B74" w:rsidRPr="00281D1F" w:rsidRDefault="005A1B74" w:rsidP="002D1E7C">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 xml:space="preserve">analiziranje i praćenje odnosa na tržištu električne energije, konkurencije na tržištu, te svako narušavanje ili ograničenje konkurencije ili monopolsko ponašanje, </w:t>
      </w:r>
    </w:p>
    <w:p w:rsidR="005A1B74" w:rsidRPr="00281D1F" w:rsidRDefault="005A1B74" w:rsidP="002D1E7C">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 xml:space="preserve">nadziranje i praćenje pojave restriktivnih ugovornih praksi, uključujući odredbe o ekskluzivitetu, koje mogu spriječiti kupce koji nisu domaćinstva i male kupce da istovremeno zaključe ugovore sa više snabdjevača ili ograniče njihov izbor, </w:t>
      </w:r>
    </w:p>
    <w:p w:rsidR="005A1B74" w:rsidRPr="00281D1F" w:rsidRDefault="005A1B74" w:rsidP="002D1E7C">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donošenje mjera za funkcionisanje otvorenog konkurentnog tržišta električne energije u Republici Srpskoj, kao i sprečavanje nelojalne konkurencije,</w:t>
      </w:r>
    </w:p>
    <w:p w:rsidR="005A1B74" w:rsidRPr="00281D1F" w:rsidRDefault="005A1B74" w:rsidP="002D1E7C">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 xml:space="preserve">donošenje opštih uslova za isporuku i snabdijevanje električnom energijom, </w:t>
      </w:r>
    </w:p>
    <w:p w:rsidR="005A1B74" w:rsidRPr="00281D1F" w:rsidRDefault="005A1B74" w:rsidP="002D1E7C">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donošenje pravila o postupku promjene snabdjevača,</w:t>
      </w:r>
    </w:p>
    <w:p w:rsidR="005A1B74" w:rsidRPr="00281D1F" w:rsidRDefault="005A1B74" w:rsidP="002D1E7C">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 xml:space="preserve">praćenje slobode ugovaranja kod ugovora o snabdijevanju i dugoročnih ugovora, </w:t>
      </w:r>
    </w:p>
    <w:p w:rsidR="005A1B74" w:rsidRPr="00281D1F" w:rsidRDefault="005A1B74" w:rsidP="002D1E7C">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 xml:space="preserve">obezbjeđenje, u saradnji sa drugim nadležnim tijelima, institucionalne zaštite prava krajnjih kupaca, uključujući pravo na pravičan i nediskriminatorski tretman, na pružanje kvalitetnih usluga i konkurenciju, </w:t>
      </w:r>
    </w:p>
    <w:p w:rsidR="005A1B74" w:rsidRPr="00281D1F" w:rsidRDefault="005A1B74" w:rsidP="002D1E7C">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vršenje nadzora nad izvršavanjem obaveze javne usluge,</w:t>
      </w:r>
    </w:p>
    <w:p w:rsidR="005A1B74" w:rsidRPr="00281D1F" w:rsidRDefault="005A1B74" w:rsidP="002D1E7C">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vršenje kontrole računa elektroenergetskih subjekata i eventualno postojanje unakrsnog subvencionisanja između djelatnosti za subjekte koji obavljaju djelatnost u sistemu javne usluge,</w:t>
      </w:r>
    </w:p>
    <w:p w:rsidR="005A1B74" w:rsidRPr="00281D1F" w:rsidRDefault="005A1B74" w:rsidP="002D1E7C">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 xml:space="preserve">praćenje sigurnosti rada i pouzdanosti distributivne mreže, </w:t>
      </w:r>
    </w:p>
    <w:p w:rsidR="005A1B74" w:rsidRPr="00281D1F" w:rsidRDefault="005A1B74" w:rsidP="002D1E7C">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određivanje operatoru distributiv</w:t>
      </w:r>
      <w:r>
        <w:rPr>
          <w:rFonts w:asciiTheme="minorHAnsi" w:hAnsiTheme="minorHAnsi"/>
          <w:sz w:val="22"/>
          <w:szCs w:val="22"/>
          <w:lang w:val="sr-Cyrl-BA"/>
        </w:rPr>
        <w:t>n</w:t>
      </w:r>
      <w:r w:rsidRPr="00281D1F">
        <w:rPr>
          <w:rFonts w:asciiTheme="minorHAnsi" w:hAnsiTheme="minorHAnsi"/>
          <w:sz w:val="22"/>
          <w:szCs w:val="22"/>
          <w:lang w:val="sr-Cyrl-BA"/>
        </w:rPr>
        <w:t>og sistema nivoa dozvoljenih gubitaka električne energije, te nalaganje preduzimanja mjera za podsticanje energetske efikasnosti u svrhu upravljanja potražnjom,</w:t>
      </w:r>
    </w:p>
    <w:p w:rsidR="005A1B74" w:rsidRPr="00281D1F" w:rsidRDefault="005A1B74" w:rsidP="002D1E7C">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nalaganje operatoru distributiv</w:t>
      </w:r>
      <w:r>
        <w:rPr>
          <w:rFonts w:asciiTheme="minorHAnsi" w:hAnsiTheme="minorHAnsi"/>
          <w:sz w:val="22"/>
          <w:szCs w:val="22"/>
          <w:lang w:val="sr-Cyrl-BA"/>
        </w:rPr>
        <w:t>n</w:t>
      </w:r>
      <w:r w:rsidRPr="00281D1F">
        <w:rPr>
          <w:rFonts w:asciiTheme="minorHAnsi" w:hAnsiTheme="minorHAnsi"/>
          <w:sz w:val="22"/>
          <w:szCs w:val="22"/>
          <w:lang w:val="sr-Cyrl-BA"/>
        </w:rPr>
        <w:t>og sistema sprovođenja mjera za unapređivanje kvaliteta usluga,</w:t>
      </w:r>
    </w:p>
    <w:p w:rsidR="005A1B74" w:rsidRPr="00281D1F" w:rsidRDefault="005A1B74" w:rsidP="002D1E7C">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donošenje propisa o kvalitetu snabdijevanja, uključujući i naknade za odstupanje od propisanih standarda i praćenje indikatora kvaliteta snabdijevanja (kvalitet komercijalnih usluga, kontinuitet isporuke i kvalitet napona) definisane standardima kvaliteta koje propisuje Regulatorna komisija,</w:t>
      </w:r>
    </w:p>
    <w:p w:rsidR="005A1B74" w:rsidRPr="00281D1F" w:rsidRDefault="005A1B74" w:rsidP="002D1E7C">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propisivanje operatoru distributivnog sistema obima i sadržaja podataka koji se kupcu dostavljaju redovno, i po zahtjevu kupca, te način i postupak izvještavanja, u cilju izbora snabdjevača,</w:t>
      </w:r>
    </w:p>
    <w:p w:rsidR="005A1B74" w:rsidRPr="00281D1F" w:rsidRDefault="005A1B74" w:rsidP="002D1E7C">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praćenje ulaganja u proizvodne i distributivne kapacitete s ciljem obezbjeđenja sigurnosti snabdijevanja,</w:t>
      </w:r>
    </w:p>
    <w:p w:rsidR="005A1B74" w:rsidRPr="00281D1F" w:rsidRDefault="005A1B74" w:rsidP="002D1E7C">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obezbjeđivanje da u slučaju odbijanja pristupa mreži nadležni operator distributivnog sistema dostavi sve relevantne informacije o mjerama koje je potrebno preduzeti za razvoj mreže,</w:t>
      </w:r>
    </w:p>
    <w:p w:rsidR="005A1B74" w:rsidRPr="00281D1F" w:rsidRDefault="005A1B74" w:rsidP="002D1E7C">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rješavanje sporova između učesnika na tržištu, u skladu s ovim zakonom,</w:t>
      </w:r>
    </w:p>
    <w:p w:rsidR="005A1B74" w:rsidRPr="00281D1F" w:rsidRDefault="005A1B74" w:rsidP="002D1E7C">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obezbjeđivanje javnosti rada i zainteresovanim subjektima omogućavanje pristupa informacijama koje prema propisima i aktima Regulatorne komisije nemaju karakter povjerljivosti,</w:t>
      </w:r>
    </w:p>
    <w:p w:rsidR="005A1B74" w:rsidRPr="00281D1F" w:rsidRDefault="005A1B74" w:rsidP="002D1E7C">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pristup računima elektroenergetskih subjekata i praćenje sprovođenja obaveze razdvajanja računa,</w:t>
      </w:r>
    </w:p>
    <w:p w:rsidR="005A1B74" w:rsidRPr="00281D1F" w:rsidRDefault="005A1B74" w:rsidP="002D1E7C">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 xml:space="preserve">propisivanje pravila izvještavanja, obrasce za dostavu podataka, dinamiku i način dostave izvještaja od elektroenergetskih subjekata, </w:t>
      </w:r>
    </w:p>
    <w:p w:rsidR="005A1B74" w:rsidRPr="00281D1F" w:rsidRDefault="005A1B74" w:rsidP="002D1E7C">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donošenje pravila za vođenje knjigovodstvenih evidencija radi sprovođenja odredaba ovog zakona u vezi sa razdvajanjem računa,</w:t>
      </w:r>
    </w:p>
    <w:p w:rsidR="005A1B74" w:rsidRPr="00281D1F" w:rsidRDefault="005A1B74" w:rsidP="002D1E7C">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odobravanje pravila za elektronsku razmjenu podataka na maloprodajnom tržištu električne energije koja donose operatori distributivnog sistema,</w:t>
      </w:r>
    </w:p>
    <w:p w:rsidR="005A1B74" w:rsidRPr="00281D1F" w:rsidRDefault="005A1B74" w:rsidP="002D1E7C">
      <w:pPr>
        <w:pStyle w:val="ListParagraph"/>
        <w:numPr>
          <w:ilvl w:val="0"/>
          <w:numId w:val="21"/>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odlučivanje o drugim pitanjima, u skladu sa ovim zakonom i drugim propisima u oblasti energetike, a koji se odnose na regulisanje odnosa između subjekata na tržištu električne energije i vršenje nadzora.</w:t>
      </w:r>
    </w:p>
    <w:p w:rsidR="005A1B74" w:rsidRPr="00281D1F" w:rsidRDefault="005A1B74" w:rsidP="002D1E7C">
      <w:pPr>
        <w:spacing w:before="120" w:after="120"/>
        <w:jc w:val="both"/>
        <w:rPr>
          <w:rFonts w:asciiTheme="minorHAnsi" w:hAnsiTheme="minorHAnsi"/>
          <w:sz w:val="22"/>
          <w:szCs w:val="22"/>
          <w:lang w:val="sr-Cyrl-BA"/>
        </w:rPr>
      </w:pPr>
      <w:r w:rsidRPr="00281D1F">
        <w:rPr>
          <w:rFonts w:asciiTheme="minorHAnsi" w:hAnsiTheme="minorHAnsi"/>
          <w:sz w:val="22"/>
          <w:szCs w:val="22"/>
          <w:lang w:val="sr-Cyrl-BA"/>
        </w:rPr>
        <w:lastRenderedPageBreak/>
        <w:t>Osnovne nadležnosti Regulatorne komisije, propisane odredbama Zakona o obnovljivim izvorima energije, odnose se na sljedeće:</w:t>
      </w:r>
    </w:p>
    <w:p w:rsidR="005A1B74" w:rsidRPr="00281D1F" w:rsidRDefault="005A1B74" w:rsidP="002D1E7C">
      <w:pPr>
        <w:pStyle w:val="ListParagraph"/>
        <w:numPr>
          <w:ilvl w:val="0"/>
          <w:numId w:val="20"/>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nadzor nad radom operatora sistema podsticaja,</w:t>
      </w:r>
    </w:p>
    <w:p w:rsidR="005A1B74" w:rsidRPr="00281D1F" w:rsidRDefault="005A1B74" w:rsidP="002D1E7C">
      <w:pPr>
        <w:pStyle w:val="ListParagraph"/>
        <w:numPr>
          <w:ilvl w:val="0"/>
          <w:numId w:val="20"/>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izdavanje sertifikata za proizvodna postrojenja za proizvodnju električne energije koristeći obnovljive izvore energije,</w:t>
      </w:r>
    </w:p>
    <w:p w:rsidR="005A1B74" w:rsidRPr="00281D1F" w:rsidRDefault="005A1B74" w:rsidP="002D1E7C">
      <w:pPr>
        <w:pStyle w:val="ListParagraph"/>
        <w:numPr>
          <w:ilvl w:val="0"/>
          <w:numId w:val="20"/>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izdavanje garancija o porijeklu za električnu energiju proizvedenu iz obnovljivih izvora energije,</w:t>
      </w:r>
    </w:p>
    <w:p w:rsidR="005A1B74" w:rsidRPr="00281D1F" w:rsidRDefault="005A1B74" w:rsidP="002D1E7C">
      <w:pPr>
        <w:pStyle w:val="ListParagraph"/>
        <w:numPr>
          <w:ilvl w:val="0"/>
          <w:numId w:val="20"/>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donošenje podzakonskih akata u skladu sa zakonom (podsticanje, aukcije, kupci proizvođači i energetske zajednice i slično),</w:t>
      </w:r>
    </w:p>
    <w:p w:rsidR="005A1B74" w:rsidRPr="00281D1F" w:rsidRDefault="005A1B74" w:rsidP="002D1E7C">
      <w:pPr>
        <w:pStyle w:val="ListParagraph"/>
        <w:numPr>
          <w:ilvl w:val="0"/>
          <w:numId w:val="20"/>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određivanje garantovane otkupne cijene i premije, uz saglasnost Vlade Republike Srpske,</w:t>
      </w:r>
    </w:p>
    <w:p w:rsidR="005A1B74" w:rsidRPr="00281D1F" w:rsidRDefault="005A1B74" w:rsidP="002D1E7C">
      <w:pPr>
        <w:pStyle w:val="ListParagraph"/>
        <w:numPr>
          <w:ilvl w:val="0"/>
          <w:numId w:val="20"/>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izdavanje rješenja o pravu na podsticaj i rješenja o preliminarnom pravu na podsticaj i</w:t>
      </w:r>
    </w:p>
    <w:p w:rsidR="005A1B74" w:rsidRPr="00281D1F" w:rsidRDefault="005A1B74" w:rsidP="002D1E7C">
      <w:pPr>
        <w:pStyle w:val="ListParagraph"/>
        <w:numPr>
          <w:ilvl w:val="0"/>
          <w:numId w:val="20"/>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određivanje visine naknade za podsticanje proizvodnje električne energije iz obnovljivih izvora, uz saglasnost Vlade Republike Srpske.</w:t>
      </w:r>
    </w:p>
    <w:p w:rsidR="005A1B74" w:rsidRPr="00281D1F" w:rsidRDefault="005A1B74" w:rsidP="002D1E7C">
      <w:pPr>
        <w:spacing w:before="120" w:after="120"/>
        <w:jc w:val="both"/>
        <w:rPr>
          <w:rFonts w:asciiTheme="minorHAnsi" w:hAnsiTheme="minorHAnsi"/>
          <w:sz w:val="22"/>
          <w:szCs w:val="22"/>
          <w:lang w:val="sr-Cyrl-BA"/>
        </w:rPr>
      </w:pPr>
      <w:r w:rsidRPr="00281D1F">
        <w:rPr>
          <w:rFonts w:asciiTheme="minorHAnsi" w:hAnsiTheme="minorHAnsi"/>
          <w:sz w:val="22"/>
          <w:szCs w:val="22"/>
          <w:lang w:val="sr-Cyrl-BA"/>
        </w:rPr>
        <w:t>U sektoru prirodnog gasa, nadležnost Regulatorne komisije propisana je Zakonom o gasu, a osnovne nadlež</w:t>
      </w:r>
      <w:r>
        <w:rPr>
          <w:rFonts w:asciiTheme="minorHAnsi" w:hAnsiTheme="minorHAnsi"/>
          <w:sz w:val="22"/>
          <w:szCs w:val="22"/>
          <w:lang w:val="sr-Cyrl-BA"/>
        </w:rPr>
        <w:t>n</w:t>
      </w:r>
      <w:r w:rsidRPr="00281D1F">
        <w:rPr>
          <w:rFonts w:asciiTheme="minorHAnsi" w:hAnsiTheme="minorHAnsi"/>
          <w:sz w:val="22"/>
          <w:szCs w:val="22"/>
          <w:lang w:val="sr-Cyrl-BA"/>
        </w:rPr>
        <w:t>osti obuhvataju sljedeće:</w:t>
      </w:r>
    </w:p>
    <w:p w:rsidR="005A1B74" w:rsidRPr="00281D1F" w:rsidRDefault="005A1B74" w:rsidP="002D1E7C">
      <w:pPr>
        <w:pStyle w:val="ListParagraph"/>
        <w:numPr>
          <w:ilvl w:val="0"/>
          <w:numId w:val="23"/>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utvrđivanje metodologije za obračun ili utvrđivanje uslova za utvrđivanje naknade za priključenja na transport, distribuciju i skladištenje prirodnog gasa i naknade za debalans, kao i davanje saglasnosti na utvrđene naknade,</w:t>
      </w:r>
    </w:p>
    <w:p w:rsidR="005A1B74" w:rsidRPr="00281D1F" w:rsidRDefault="005A1B74" w:rsidP="002D1E7C">
      <w:pPr>
        <w:pStyle w:val="ListParagraph"/>
        <w:numPr>
          <w:ilvl w:val="0"/>
          <w:numId w:val="23"/>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utvrđivanje metodologije i davanje saglasnosti na tarife za pristup transportnom, distributivnom i skladišnom sistemu prirodnog gasa,</w:t>
      </w:r>
    </w:p>
    <w:p w:rsidR="005A1B74" w:rsidRPr="00281D1F" w:rsidRDefault="005A1B74" w:rsidP="002D1E7C">
      <w:pPr>
        <w:pStyle w:val="ListParagraph"/>
        <w:numPr>
          <w:ilvl w:val="0"/>
          <w:numId w:val="23"/>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utvrđivanje metodologije za određivanje tarifa za snabdijevanje u obavezi javne usluge i tarifa prirodnog gasa u slučaju snabdijevanja posljednjeg izbora i davanja saglasnosti na tarife,</w:t>
      </w:r>
    </w:p>
    <w:p w:rsidR="005A1B74" w:rsidRPr="00281D1F" w:rsidRDefault="005A1B74" w:rsidP="002D1E7C">
      <w:pPr>
        <w:pStyle w:val="ListParagraph"/>
        <w:numPr>
          <w:ilvl w:val="0"/>
          <w:numId w:val="23"/>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donošenje pravila o promjeni snabdjevača,</w:t>
      </w:r>
    </w:p>
    <w:p w:rsidR="005A1B74" w:rsidRPr="00281D1F" w:rsidRDefault="005A1B74" w:rsidP="002D1E7C">
      <w:pPr>
        <w:pStyle w:val="ListParagraph"/>
        <w:numPr>
          <w:ilvl w:val="0"/>
          <w:numId w:val="23"/>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donošenje pravila o radu snabdjevača posljednjeg izbora,</w:t>
      </w:r>
    </w:p>
    <w:p w:rsidR="005A1B74" w:rsidRPr="00281D1F" w:rsidRDefault="005A1B74" w:rsidP="002D1E7C">
      <w:pPr>
        <w:pStyle w:val="ListParagraph"/>
        <w:numPr>
          <w:ilvl w:val="0"/>
          <w:numId w:val="23"/>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izdavanje, produženje, izmjene i dopune, privremeno i trajno oduzimanje dozvola pod uslovima i na način propisan Zakonom i propisima donesenim na osnovu njega,</w:t>
      </w:r>
    </w:p>
    <w:p w:rsidR="005A1B74" w:rsidRPr="00281D1F" w:rsidRDefault="005A1B74" w:rsidP="002D1E7C">
      <w:pPr>
        <w:pStyle w:val="ListParagraph"/>
        <w:numPr>
          <w:ilvl w:val="0"/>
          <w:numId w:val="23"/>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certifikaciju operatora transportnog sistema i praćenje kontinuirane usklađenosti sa zahtjevima za nezavisnost i razdvajanje, te drugih uslova propisanih Zakonom koji se odnose na rad operatora transportnog sistema,</w:t>
      </w:r>
    </w:p>
    <w:p w:rsidR="005A1B74" w:rsidRPr="00281D1F" w:rsidRDefault="005A1B74" w:rsidP="002D1E7C">
      <w:pPr>
        <w:pStyle w:val="ListParagraph"/>
        <w:numPr>
          <w:ilvl w:val="0"/>
          <w:numId w:val="23"/>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davanje saglasnosti na pravila rada operatora transportnog i distributivnog sistema i na opšte uslove snabdijevanja kupaca prirodnim gasom i opšte uslove operatora skladišta,</w:t>
      </w:r>
    </w:p>
    <w:p w:rsidR="005A1B74" w:rsidRPr="00281D1F" w:rsidRDefault="005A1B74" w:rsidP="002D1E7C">
      <w:pPr>
        <w:pStyle w:val="ListParagraph"/>
        <w:numPr>
          <w:ilvl w:val="0"/>
          <w:numId w:val="23"/>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izdavanje prethodnog odobrenja za izgradnju direktnih gasovoda,</w:t>
      </w:r>
    </w:p>
    <w:p w:rsidR="005A1B74" w:rsidRPr="00281D1F" w:rsidRDefault="005A1B74" w:rsidP="002D1E7C">
      <w:pPr>
        <w:pStyle w:val="ListParagraph"/>
        <w:numPr>
          <w:ilvl w:val="0"/>
          <w:numId w:val="23"/>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rješavanje sporova između učesnika na tržištu.</w:t>
      </w:r>
    </w:p>
    <w:p w:rsidR="005A1B74" w:rsidRPr="00281D1F" w:rsidRDefault="005A1B74" w:rsidP="002D1E7C">
      <w:pPr>
        <w:spacing w:before="120" w:after="120"/>
        <w:jc w:val="both"/>
        <w:rPr>
          <w:rFonts w:asciiTheme="minorHAnsi" w:hAnsiTheme="minorHAnsi"/>
          <w:sz w:val="22"/>
          <w:szCs w:val="22"/>
          <w:lang w:val="sr-Cyrl-BA"/>
        </w:rPr>
      </w:pPr>
      <w:r w:rsidRPr="00281D1F">
        <w:rPr>
          <w:rFonts w:asciiTheme="minorHAnsi" w:hAnsiTheme="minorHAnsi"/>
          <w:sz w:val="22"/>
          <w:szCs w:val="22"/>
          <w:lang w:val="sr-Cyrl-BA"/>
        </w:rPr>
        <w:t>U sektoru nafte i derivata nafte, Regulatorna komisija, na osnovu odredbi Zakona o nafti i derivatima nafte, nadležna je da:</w:t>
      </w:r>
    </w:p>
    <w:p w:rsidR="005A1B74" w:rsidRPr="00281D1F" w:rsidRDefault="005A1B74" w:rsidP="002D1E7C">
      <w:pPr>
        <w:pStyle w:val="ListParagraph"/>
        <w:numPr>
          <w:ilvl w:val="0"/>
          <w:numId w:val="22"/>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utvrđuje metodologije za obračun troškova transporta nafte naftovodima i transporta derivata nafte produktovodima,</w:t>
      </w:r>
    </w:p>
    <w:p w:rsidR="005A1B74" w:rsidRPr="00281D1F" w:rsidRDefault="005A1B74" w:rsidP="002D1E7C">
      <w:pPr>
        <w:pStyle w:val="ListParagraph"/>
        <w:numPr>
          <w:ilvl w:val="0"/>
          <w:numId w:val="22"/>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donosi tarifni sistem za obračun cijene za korišćenje naftovoda, odnosno produktovoda,</w:t>
      </w:r>
    </w:p>
    <w:p w:rsidR="005A1B74" w:rsidRPr="00281D1F" w:rsidRDefault="005A1B74" w:rsidP="002D1E7C">
      <w:pPr>
        <w:pStyle w:val="ListParagraph"/>
        <w:numPr>
          <w:ilvl w:val="0"/>
          <w:numId w:val="22"/>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odobrava cijene za korišćenje naftovoda, odnosno produktovoda,</w:t>
      </w:r>
    </w:p>
    <w:p w:rsidR="005A1B74" w:rsidRPr="00281D1F" w:rsidRDefault="005A1B74" w:rsidP="002D1E7C">
      <w:pPr>
        <w:pStyle w:val="ListParagraph"/>
        <w:numPr>
          <w:ilvl w:val="0"/>
          <w:numId w:val="22"/>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utvrđuje kriterijume i propisuje uslove za dobijanje, izmjenu, dopunu i oduzimanje dozvole za obavljanje djelatnosti, rješava u postupku za dobijanje, izmjenu, dopunu i oduzimanje dozvole za obavljanje djelatnosti u oblasti nafte i derivata nafte i vodi registar izdatih dozvola i privremeno ili trajno oduzetih dozvola za obavljanje djelatnosti u oblasti nafte i derivata nafte,</w:t>
      </w:r>
    </w:p>
    <w:p w:rsidR="005A1B74" w:rsidRPr="00281D1F" w:rsidRDefault="005A1B74" w:rsidP="002D1E7C">
      <w:pPr>
        <w:pStyle w:val="ListParagraph"/>
        <w:numPr>
          <w:ilvl w:val="0"/>
          <w:numId w:val="22"/>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rješava u drugom stepenu po žalbi,</w:t>
      </w:r>
    </w:p>
    <w:p w:rsidR="005A1B74" w:rsidRPr="00281D1F" w:rsidRDefault="005A1B74" w:rsidP="002D1E7C">
      <w:pPr>
        <w:pStyle w:val="ListParagraph"/>
        <w:numPr>
          <w:ilvl w:val="0"/>
          <w:numId w:val="22"/>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vrši nadzor nad obavljanjem djelatnosti za koje izdaje dozvole u oblasti nafte i derivata nafte u skladu sa zakonom i načelima utvrđenim zakonom, uključujući praćenje primjene tarifnih sistema i metodologija za pristup i korišćenje naftovoda, odnosno produktovoda i</w:t>
      </w:r>
    </w:p>
    <w:p w:rsidR="005A1B74" w:rsidRPr="00281D1F" w:rsidRDefault="005A1B74" w:rsidP="002D1E7C">
      <w:pPr>
        <w:pStyle w:val="ListParagraph"/>
        <w:numPr>
          <w:ilvl w:val="0"/>
          <w:numId w:val="22"/>
        </w:numPr>
        <w:ind w:left="357" w:hanging="357"/>
        <w:jc w:val="both"/>
        <w:rPr>
          <w:rFonts w:asciiTheme="minorHAnsi" w:hAnsiTheme="minorHAnsi"/>
          <w:sz w:val="22"/>
          <w:szCs w:val="22"/>
          <w:lang w:val="sr-Cyrl-BA"/>
        </w:rPr>
      </w:pPr>
      <w:r w:rsidRPr="00281D1F">
        <w:rPr>
          <w:rFonts w:asciiTheme="minorHAnsi" w:hAnsiTheme="minorHAnsi"/>
          <w:sz w:val="22"/>
          <w:szCs w:val="22"/>
          <w:lang w:val="sr-Cyrl-BA"/>
        </w:rPr>
        <w:t>obavlja i druge poslove u skladu sa zakonom.</w:t>
      </w:r>
    </w:p>
    <w:p w:rsidR="005A1B74" w:rsidRPr="00281D1F" w:rsidRDefault="005A1B74" w:rsidP="002D1E7C">
      <w:pPr>
        <w:jc w:val="both"/>
        <w:rPr>
          <w:rFonts w:asciiTheme="minorHAnsi" w:hAnsiTheme="minorHAnsi"/>
          <w:sz w:val="22"/>
          <w:szCs w:val="22"/>
          <w:lang w:val="sr-Cyrl-BA"/>
        </w:rPr>
      </w:pPr>
    </w:p>
    <w:p w:rsidR="005A1B74" w:rsidRPr="00281D1F" w:rsidRDefault="005A1B74" w:rsidP="002D1E7C">
      <w:pPr>
        <w:jc w:val="both"/>
        <w:rPr>
          <w:rFonts w:asciiTheme="minorHAnsi" w:hAnsiTheme="minorHAnsi"/>
          <w:sz w:val="22"/>
          <w:szCs w:val="22"/>
          <w:lang w:val="sr-Cyrl-BA"/>
        </w:rPr>
      </w:pPr>
    </w:p>
    <w:p w:rsidR="005A1B74" w:rsidRPr="00281D1F" w:rsidRDefault="005A1B74" w:rsidP="002D1E7C">
      <w:pPr>
        <w:pStyle w:val="Heading1"/>
        <w:numPr>
          <w:ilvl w:val="0"/>
          <w:numId w:val="3"/>
        </w:numPr>
        <w:tabs>
          <w:tab w:val="clear" w:pos="360"/>
          <w:tab w:val="num" w:pos="-1800"/>
        </w:tabs>
        <w:spacing w:after="240"/>
        <w:jc w:val="both"/>
        <w:rPr>
          <w:rFonts w:asciiTheme="minorHAnsi" w:hAnsiTheme="minorHAnsi" w:cs="Calibri"/>
          <w:bCs/>
          <w:sz w:val="28"/>
          <w:szCs w:val="28"/>
          <w:lang w:val="sr-Cyrl-BA"/>
        </w:rPr>
      </w:pPr>
      <w:bookmarkStart w:id="34" w:name="_Toc358640030"/>
      <w:bookmarkStart w:id="35" w:name="_Toc358640248"/>
      <w:bookmarkStart w:id="36" w:name="_Toc358640466"/>
      <w:bookmarkStart w:id="37" w:name="_Toc358640890"/>
      <w:bookmarkStart w:id="38" w:name="_Toc210301147"/>
      <w:r w:rsidRPr="00281D1F">
        <w:rPr>
          <w:rFonts w:asciiTheme="minorHAnsi" w:hAnsiTheme="minorHAnsi" w:cs="Calibri"/>
          <w:bCs/>
          <w:sz w:val="28"/>
          <w:szCs w:val="28"/>
          <w:lang w:val="sr-Cyrl-BA"/>
        </w:rPr>
        <w:lastRenderedPageBreak/>
        <w:t>Ključne aktivnosti Regulatorne komisije</w:t>
      </w:r>
      <w:bookmarkEnd w:id="34"/>
      <w:bookmarkEnd w:id="35"/>
      <w:bookmarkEnd w:id="36"/>
      <w:bookmarkEnd w:id="37"/>
      <w:bookmarkEnd w:id="38"/>
    </w:p>
    <w:p w:rsidR="005A1B74" w:rsidRPr="00281D1F" w:rsidRDefault="005A1B74" w:rsidP="002D1E7C">
      <w:pPr>
        <w:pStyle w:val="Heading2"/>
        <w:numPr>
          <w:ilvl w:val="1"/>
          <w:numId w:val="3"/>
        </w:numPr>
        <w:tabs>
          <w:tab w:val="clear" w:pos="1080"/>
          <w:tab w:val="num" w:pos="0"/>
        </w:tabs>
        <w:ind w:left="993" w:hanging="993"/>
        <w:rPr>
          <w:rFonts w:asciiTheme="minorHAnsi" w:hAnsiTheme="minorHAnsi"/>
          <w:i w:val="0"/>
          <w:sz w:val="26"/>
          <w:szCs w:val="26"/>
          <w:lang w:val="sr-Cyrl-BA"/>
        </w:rPr>
      </w:pPr>
      <w:bookmarkStart w:id="39" w:name="_Toc358640031"/>
      <w:bookmarkStart w:id="40" w:name="_Toc358640249"/>
      <w:bookmarkStart w:id="41" w:name="_Toc358640467"/>
      <w:bookmarkStart w:id="42" w:name="_Toc358640891"/>
      <w:bookmarkStart w:id="43" w:name="_Toc210301148"/>
      <w:r w:rsidRPr="00281D1F">
        <w:rPr>
          <w:rFonts w:asciiTheme="minorHAnsi" w:hAnsiTheme="minorHAnsi"/>
          <w:i w:val="0"/>
          <w:sz w:val="26"/>
          <w:szCs w:val="26"/>
          <w:lang w:val="sr-Cyrl-BA"/>
        </w:rPr>
        <w:t>Sjednice, sastanci i javne rasprave</w:t>
      </w:r>
      <w:bookmarkEnd w:id="39"/>
      <w:bookmarkEnd w:id="40"/>
      <w:bookmarkEnd w:id="41"/>
      <w:bookmarkEnd w:id="42"/>
      <w:bookmarkEnd w:id="43"/>
    </w:p>
    <w:p w:rsidR="005A1B74" w:rsidRPr="00281D1F" w:rsidRDefault="005A1B74" w:rsidP="002D1E7C">
      <w:pPr>
        <w:ind w:left="720"/>
        <w:rPr>
          <w:rFonts w:asciiTheme="minorHAnsi" w:hAnsiTheme="minorHAnsi"/>
          <w:sz w:val="16"/>
          <w:szCs w:val="16"/>
          <w:highlight w:val="lightGray"/>
          <w:lang w:val="sr-Cyrl-BA"/>
        </w:rPr>
      </w:pPr>
    </w:p>
    <w:p w:rsidR="005A1B74" w:rsidRPr="00281D1F" w:rsidRDefault="005A1B74" w:rsidP="002D1E7C">
      <w:pPr>
        <w:spacing w:after="120"/>
        <w:jc w:val="both"/>
        <w:rPr>
          <w:rFonts w:asciiTheme="minorHAnsi" w:hAnsiTheme="minorHAnsi"/>
          <w:sz w:val="22"/>
          <w:szCs w:val="22"/>
          <w:lang w:val="sr-Cyrl-BA"/>
        </w:rPr>
      </w:pPr>
      <w:r w:rsidRPr="00281D1F">
        <w:rPr>
          <w:rFonts w:asciiTheme="minorHAnsi" w:hAnsiTheme="minorHAnsi"/>
          <w:sz w:val="22"/>
          <w:szCs w:val="22"/>
          <w:lang w:val="sr-Cyrl-BA"/>
        </w:rPr>
        <w:t>Tokom 202</w:t>
      </w:r>
      <w:r>
        <w:rPr>
          <w:rFonts w:asciiTheme="minorHAnsi" w:hAnsiTheme="minorHAnsi"/>
          <w:sz w:val="22"/>
          <w:szCs w:val="22"/>
        </w:rPr>
        <w:t>4</w:t>
      </w:r>
      <w:r w:rsidRPr="00281D1F">
        <w:rPr>
          <w:rFonts w:asciiTheme="minorHAnsi" w:hAnsiTheme="minorHAnsi"/>
          <w:sz w:val="22"/>
          <w:szCs w:val="22"/>
          <w:lang w:val="sr-Cyrl-BA"/>
        </w:rPr>
        <w:t xml:space="preserve">. godine, Regulatorna komisija je održala </w:t>
      </w:r>
      <w:r>
        <w:rPr>
          <w:rFonts w:asciiTheme="minorHAnsi" w:hAnsiTheme="minorHAnsi"/>
          <w:sz w:val="22"/>
          <w:szCs w:val="22"/>
          <w:lang w:val="bs-Latn-BA"/>
        </w:rPr>
        <w:t>38</w:t>
      </w:r>
      <w:r w:rsidRPr="00281D1F">
        <w:rPr>
          <w:rFonts w:asciiTheme="minorHAnsi" w:hAnsiTheme="minorHAnsi"/>
          <w:sz w:val="22"/>
          <w:szCs w:val="22"/>
          <w:lang w:val="sr-Cyrl-BA"/>
        </w:rPr>
        <w:t xml:space="preserve"> redovnih i jednu vanrednu sjednicu i </w:t>
      </w:r>
      <w:r>
        <w:rPr>
          <w:rFonts w:asciiTheme="minorHAnsi" w:hAnsiTheme="minorHAnsi"/>
          <w:sz w:val="22"/>
          <w:szCs w:val="22"/>
          <w:lang w:val="bs-Latn-BA"/>
        </w:rPr>
        <w:t>20</w:t>
      </w:r>
      <w:r w:rsidRPr="00281D1F">
        <w:rPr>
          <w:rFonts w:asciiTheme="minorHAnsi" w:hAnsiTheme="minorHAnsi"/>
          <w:sz w:val="22"/>
          <w:szCs w:val="22"/>
          <w:lang w:val="sr-Cyrl-BA"/>
        </w:rPr>
        <w:t xml:space="preserve"> internih sastanaka. U tabeli 1 su dati podaci o strukturi i broju usvojenih akata na redovnim (sa vanrednom sjednicom) sjednicama i internim sastancima. </w:t>
      </w:r>
    </w:p>
    <w:p w:rsidR="005A1B74" w:rsidRPr="00281D1F" w:rsidRDefault="005A1B74" w:rsidP="002D1E7C">
      <w:pPr>
        <w:pStyle w:val="Caption"/>
        <w:spacing w:before="120" w:after="120"/>
        <w:rPr>
          <w:rFonts w:asciiTheme="minorHAnsi" w:hAnsiTheme="minorHAnsi"/>
          <w:lang w:val="sr-Cyrl-BA"/>
        </w:rPr>
      </w:pPr>
      <w:r w:rsidRPr="00281D1F">
        <w:rPr>
          <w:rFonts w:asciiTheme="minorHAnsi" w:hAnsiTheme="minorHAnsi"/>
          <w:lang w:val="sr-Cyrl-BA"/>
        </w:rPr>
        <w:t xml:space="preserve">Tabela 1 - </w:t>
      </w:r>
      <w:r w:rsidRPr="00281D1F">
        <w:rPr>
          <w:rFonts w:asciiTheme="minorHAnsi" w:hAnsiTheme="minorHAnsi"/>
          <w:b w:val="0"/>
          <w:bCs w:val="0"/>
          <w:i/>
          <w:iCs/>
          <w:sz w:val="22"/>
          <w:szCs w:val="22"/>
          <w:lang w:val="sr-Cyrl-BA"/>
        </w:rPr>
        <w:t>Struktura i broj donesenih akata u 202</w:t>
      </w:r>
      <w:r>
        <w:rPr>
          <w:rFonts w:asciiTheme="minorHAnsi" w:hAnsiTheme="minorHAnsi"/>
          <w:b w:val="0"/>
          <w:bCs w:val="0"/>
          <w:i/>
          <w:iCs/>
          <w:sz w:val="22"/>
          <w:szCs w:val="22"/>
          <w:lang w:val="sr-Cyrl-BA"/>
        </w:rPr>
        <w:t>4</w:t>
      </w:r>
      <w:r w:rsidRPr="00281D1F">
        <w:rPr>
          <w:rFonts w:asciiTheme="minorHAnsi" w:hAnsiTheme="minorHAnsi"/>
          <w:b w:val="0"/>
          <w:bCs w:val="0"/>
          <w:i/>
          <w:iCs/>
          <w:sz w:val="22"/>
          <w:szCs w:val="22"/>
          <w:lang w:val="sr-Cyrl-BA"/>
        </w:rPr>
        <w:t>. godini</w:t>
      </w:r>
    </w:p>
    <w:tbl>
      <w:tblPr>
        <w:tblStyle w:val="MediumGrid3-Accent6"/>
        <w:tblW w:w="0" w:type="auto"/>
        <w:jc w:val="center"/>
        <w:tblLook w:val="0000" w:firstRow="0" w:lastRow="0" w:firstColumn="0" w:lastColumn="0" w:noHBand="0" w:noVBand="0"/>
      </w:tblPr>
      <w:tblGrid>
        <w:gridCol w:w="2707"/>
        <w:gridCol w:w="1706"/>
        <w:gridCol w:w="2428"/>
        <w:gridCol w:w="1893"/>
      </w:tblGrid>
      <w:tr w:rsidR="005A1B74" w:rsidRPr="00281D1F" w:rsidTr="002D1E7C">
        <w:trPr>
          <w:cnfStyle w:val="000000100000" w:firstRow="0" w:lastRow="0" w:firstColumn="0" w:lastColumn="0" w:oddVBand="0" w:evenVBand="0" w:oddHBand="1" w:evenHBand="0" w:firstRowFirstColumn="0" w:firstRowLastColumn="0" w:lastRowFirstColumn="0" w:lastRowLastColumn="0"/>
          <w:trHeight w:val="372"/>
          <w:jc w:val="center"/>
        </w:trPr>
        <w:tc>
          <w:tcPr>
            <w:cnfStyle w:val="000010000000" w:firstRow="0" w:lastRow="0" w:firstColumn="0" w:lastColumn="0" w:oddVBand="1" w:evenVBand="0" w:oddHBand="0" w:evenHBand="0" w:firstRowFirstColumn="0" w:firstRowLastColumn="0" w:lastRowFirstColumn="0" w:lastRowLastColumn="0"/>
            <w:tcW w:w="4413" w:type="dxa"/>
            <w:gridSpan w:val="2"/>
            <w:vAlign w:val="center"/>
          </w:tcPr>
          <w:p w:rsidR="005A1B74" w:rsidRPr="00281D1F" w:rsidRDefault="005A1B74" w:rsidP="002D1E7C">
            <w:pPr>
              <w:ind w:left="180" w:hanging="180"/>
              <w:jc w:val="center"/>
              <w:rPr>
                <w:rFonts w:asciiTheme="minorHAnsi" w:hAnsiTheme="minorHAnsi"/>
                <w:sz w:val="22"/>
                <w:szCs w:val="22"/>
                <w:lang w:val="sr-Cyrl-BA"/>
              </w:rPr>
            </w:pPr>
            <w:r w:rsidRPr="00281D1F">
              <w:rPr>
                <w:rFonts w:asciiTheme="minorHAnsi" w:hAnsiTheme="minorHAnsi"/>
                <w:b/>
                <w:bCs/>
                <w:sz w:val="22"/>
                <w:szCs w:val="22"/>
                <w:lang w:val="sr-Cyrl-BA"/>
              </w:rPr>
              <w:t xml:space="preserve">Redovne i vanredne sjednice – </w:t>
            </w:r>
            <w:r>
              <w:rPr>
                <w:rFonts w:asciiTheme="minorHAnsi" w:hAnsiTheme="minorHAnsi"/>
                <w:b/>
                <w:bCs/>
                <w:sz w:val="22"/>
                <w:szCs w:val="22"/>
                <w:lang w:val="sr-Cyrl-BA"/>
              </w:rPr>
              <w:t>38</w:t>
            </w:r>
          </w:p>
        </w:tc>
        <w:tc>
          <w:tcPr>
            <w:tcW w:w="4321" w:type="dxa"/>
            <w:gridSpan w:val="2"/>
            <w:vAlign w:val="center"/>
          </w:tcPr>
          <w:p w:rsidR="005A1B74" w:rsidRPr="00281D1F" w:rsidRDefault="005A1B74" w:rsidP="002D1E7C">
            <w:pPr>
              <w:ind w:left="180" w:hanging="18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val="sr-Cyrl-BA"/>
              </w:rPr>
            </w:pPr>
            <w:r w:rsidRPr="00281D1F">
              <w:rPr>
                <w:rFonts w:asciiTheme="minorHAnsi" w:hAnsiTheme="minorHAnsi"/>
                <w:b/>
                <w:bCs/>
                <w:sz w:val="22"/>
                <w:szCs w:val="22"/>
                <w:lang w:val="sr-Cyrl-BA"/>
              </w:rPr>
              <w:t xml:space="preserve">Interni sastanci – </w:t>
            </w:r>
            <w:r>
              <w:rPr>
                <w:rFonts w:asciiTheme="minorHAnsi" w:hAnsiTheme="minorHAnsi"/>
                <w:b/>
                <w:bCs/>
                <w:sz w:val="22"/>
                <w:szCs w:val="22"/>
                <w:lang w:val="sr-Cyrl-BA"/>
              </w:rPr>
              <w:t>20</w:t>
            </w:r>
          </w:p>
        </w:tc>
      </w:tr>
      <w:tr w:rsidR="005A1B74" w:rsidRPr="00281D1F" w:rsidTr="002D1E7C">
        <w:trPr>
          <w:jc w:val="center"/>
        </w:trPr>
        <w:tc>
          <w:tcPr>
            <w:cnfStyle w:val="000010000000" w:firstRow="0" w:lastRow="0" w:firstColumn="0" w:lastColumn="0" w:oddVBand="1" w:evenVBand="0" w:oddHBand="0" w:evenHBand="0" w:firstRowFirstColumn="0" w:firstRowLastColumn="0" w:lastRowFirstColumn="0" w:lastRowLastColumn="0"/>
            <w:tcW w:w="2707" w:type="dxa"/>
            <w:vAlign w:val="center"/>
          </w:tcPr>
          <w:p w:rsidR="005A1B74" w:rsidRPr="00281D1F" w:rsidRDefault="005A1B74" w:rsidP="002D1E7C">
            <w:pPr>
              <w:jc w:val="center"/>
              <w:rPr>
                <w:rFonts w:asciiTheme="minorHAnsi" w:hAnsiTheme="minorHAnsi"/>
                <w:b/>
                <w:sz w:val="22"/>
                <w:szCs w:val="22"/>
                <w:lang w:val="sr-Cyrl-BA"/>
              </w:rPr>
            </w:pPr>
            <w:r w:rsidRPr="00281D1F">
              <w:rPr>
                <w:rFonts w:asciiTheme="minorHAnsi" w:hAnsiTheme="minorHAnsi"/>
                <w:b/>
                <w:sz w:val="22"/>
                <w:szCs w:val="22"/>
                <w:lang w:val="sr-Cyrl-BA"/>
              </w:rPr>
              <w:t>Vrste usvojenih akata na redovnim sjednicama</w:t>
            </w:r>
          </w:p>
        </w:tc>
        <w:tc>
          <w:tcPr>
            <w:tcW w:w="1706" w:type="dxa"/>
            <w:vAlign w:val="center"/>
          </w:tcPr>
          <w:p w:rsidR="005A1B74" w:rsidRPr="00281D1F" w:rsidRDefault="005A1B74" w:rsidP="002D1E7C">
            <w:pPr>
              <w:ind w:left="180" w:hanging="18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lang w:val="sr-Cyrl-BA"/>
              </w:rPr>
            </w:pPr>
            <w:r w:rsidRPr="00281D1F">
              <w:rPr>
                <w:rFonts w:asciiTheme="minorHAnsi" w:hAnsiTheme="minorHAnsi"/>
                <w:b/>
                <w:sz w:val="22"/>
                <w:szCs w:val="22"/>
                <w:lang w:val="sr-Cyrl-BA"/>
              </w:rPr>
              <w:t>Broj</w:t>
            </w:r>
          </w:p>
        </w:tc>
        <w:tc>
          <w:tcPr>
            <w:cnfStyle w:val="000010000000" w:firstRow="0" w:lastRow="0" w:firstColumn="0" w:lastColumn="0" w:oddVBand="1" w:evenVBand="0" w:oddHBand="0" w:evenHBand="0" w:firstRowFirstColumn="0" w:firstRowLastColumn="0" w:lastRowFirstColumn="0" w:lastRowLastColumn="0"/>
            <w:tcW w:w="2428" w:type="dxa"/>
            <w:vAlign w:val="center"/>
          </w:tcPr>
          <w:p w:rsidR="005A1B74" w:rsidRPr="00281D1F" w:rsidRDefault="005A1B74" w:rsidP="002D1E7C">
            <w:pPr>
              <w:jc w:val="center"/>
              <w:rPr>
                <w:rFonts w:asciiTheme="minorHAnsi" w:hAnsiTheme="minorHAnsi"/>
                <w:b/>
                <w:sz w:val="22"/>
                <w:szCs w:val="22"/>
                <w:lang w:val="sr-Cyrl-BA"/>
              </w:rPr>
            </w:pPr>
            <w:r w:rsidRPr="00281D1F">
              <w:rPr>
                <w:rFonts w:asciiTheme="minorHAnsi" w:hAnsiTheme="minorHAnsi"/>
                <w:b/>
                <w:sz w:val="22"/>
                <w:szCs w:val="22"/>
                <w:lang w:val="sr-Cyrl-BA"/>
              </w:rPr>
              <w:t>Vrste usvojenih akata na int. sastancima</w:t>
            </w:r>
          </w:p>
        </w:tc>
        <w:tc>
          <w:tcPr>
            <w:tcW w:w="1893" w:type="dxa"/>
            <w:vAlign w:val="center"/>
          </w:tcPr>
          <w:p w:rsidR="005A1B74" w:rsidRPr="00281D1F" w:rsidRDefault="005A1B74" w:rsidP="002D1E7C">
            <w:pPr>
              <w:ind w:left="180" w:hanging="18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sz w:val="22"/>
                <w:szCs w:val="22"/>
                <w:lang w:val="sr-Cyrl-BA"/>
              </w:rPr>
            </w:pPr>
            <w:r w:rsidRPr="00281D1F">
              <w:rPr>
                <w:rFonts w:asciiTheme="minorHAnsi" w:hAnsiTheme="minorHAnsi"/>
                <w:b/>
                <w:sz w:val="22"/>
                <w:szCs w:val="22"/>
                <w:lang w:val="sr-Cyrl-BA"/>
              </w:rPr>
              <w:t>Broj</w:t>
            </w:r>
          </w:p>
        </w:tc>
      </w:tr>
      <w:tr w:rsidR="005A1B74" w:rsidRPr="00281D1F" w:rsidTr="002D1E7C">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2707" w:type="dxa"/>
            <w:vAlign w:val="center"/>
          </w:tcPr>
          <w:p w:rsidR="005A1B74" w:rsidRPr="00281D1F" w:rsidRDefault="005A1B74" w:rsidP="002D1E7C">
            <w:pPr>
              <w:ind w:left="180" w:hanging="180"/>
              <w:jc w:val="center"/>
              <w:rPr>
                <w:rFonts w:asciiTheme="minorHAnsi" w:hAnsiTheme="minorHAnsi"/>
                <w:sz w:val="22"/>
                <w:szCs w:val="22"/>
                <w:lang w:val="sr-Cyrl-BA"/>
              </w:rPr>
            </w:pPr>
            <w:r w:rsidRPr="00281D1F">
              <w:rPr>
                <w:rFonts w:asciiTheme="minorHAnsi" w:hAnsiTheme="minorHAnsi"/>
                <w:sz w:val="22"/>
                <w:szCs w:val="22"/>
                <w:lang w:val="sr-Cyrl-BA"/>
              </w:rPr>
              <w:t>Odluke</w:t>
            </w:r>
          </w:p>
        </w:tc>
        <w:tc>
          <w:tcPr>
            <w:tcW w:w="1706" w:type="dxa"/>
            <w:vAlign w:val="center"/>
          </w:tcPr>
          <w:p w:rsidR="005A1B74" w:rsidRPr="00281D1F" w:rsidRDefault="005A1B74" w:rsidP="002D1E7C">
            <w:pPr>
              <w:ind w:left="180" w:hanging="18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highlight w:val="yellow"/>
                <w:lang w:val="sr-Cyrl-BA"/>
              </w:rPr>
            </w:pPr>
            <w:r>
              <w:rPr>
                <w:rFonts w:asciiTheme="minorHAnsi" w:hAnsiTheme="minorHAnsi"/>
                <w:sz w:val="22"/>
                <w:szCs w:val="22"/>
                <w:lang w:val="sr-Cyrl-BA"/>
              </w:rPr>
              <w:t>16</w:t>
            </w:r>
          </w:p>
        </w:tc>
        <w:tc>
          <w:tcPr>
            <w:cnfStyle w:val="000010000000" w:firstRow="0" w:lastRow="0" w:firstColumn="0" w:lastColumn="0" w:oddVBand="1" w:evenVBand="0" w:oddHBand="0" w:evenHBand="0" w:firstRowFirstColumn="0" w:firstRowLastColumn="0" w:lastRowFirstColumn="0" w:lastRowLastColumn="0"/>
            <w:tcW w:w="2428" w:type="dxa"/>
            <w:vAlign w:val="center"/>
          </w:tcPr>
          <w:p w:rsidR="005A1B74" w:rsidRPr="00281D1F" w:rsidRDefault="005A1B74" w:rsidP="002D1E7C">
            <w:pPr>
              <w:ind w:left="180" w:hanging="180"/>
              <w:jc w:val="center"/>
              <w:rPr>
                <w:rFonts w:asciiTheme="minorHAnsi" w:hAnsiTheme="minorHAnsi"/>
                <w:sz w:val="22"/>
                <w:szCs w:val="22"/>
                <w:lang w:val="sr-Cyrl-BA"/>
              </w:rPr>
            </w:pPr>
            <w:r w:rsidRPr="00281D1F">
              <w:rPr>
                <w:rFonts w:asciiTheme="minorHAnsi" w:hAnsiTheme="minorHAnsi"/>
                <w:sz w:val="22"/>
                <w:szCs w:val="22"/>
                <w:lang w:val="sr-Cyrl-BA"/>
              </w:rPr>
              <w:t>Odluke</w:t>
            </w:r>
          </w:p>
        </w:tc>
        <w:tc>
          <w:tcPr>
            <w:tcW w:w="1893" w:type="dxa"/>
            <w:vAlign w:val="center"/>
          </w:tcPr>
          <w:p w:rsidR="005A1B74" w:rsidRPr="00281D1F" w:rsidRDefault="005A1B74" w:rsidP="002D1E7C">
            <w:pPr>
              <w:ind w:left="180" w:hanging="18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highlight w:val="yellow"/>
                <w:lang w:val="sr-Cyrl-BA"/>
              </w:rPr>
            </w:pPr>
            <w:r w:rsidRPr="00281D1F">
              <w:rPr>
                <w:rFonts w:asciiTheme="minorHAnsi" w:hAnsiTheme="minorHAnsi"/>
                <w:sz w:val="22"/>
                <w:szCs w:val="22"/>
                <w:lang w:val="sr-Cyrl-BA"/>
              </w:rPr>
              <w:t>1</w:t>
            </w:r>
            <w:r>
              <w:rPr>
                <w:rFonts w:asciiTheme="minorHAnsi" w:hAnsiTheme="minorHAnsi"/>
                <w:sz w:val="22"/>
                <w:szCs w:val="22"/>
                <w:lang w:val="sr-Cyrl-BA"/>
              </w:rPr>
              <w:t>19</w:t>
            </w:r>
          </w:p>
        </w:tc>
      </w:tr>
      <w:tr w:rsidR="005A1B74" w:rsidRPr="00281D1F" w:rsidTr="002D1E7C">
        <w:trPr>
          <w:jc w:val="center"/>
        </w:trPr>
        <w:tc>
          <w:tcPr>
            <w:cnfStyle w:val="000010000000" w:firstRow="0" w:lastRow="0" w:firstColumn="0" w:lastColumn="0" w:oddVBand="1" w:evenVBand="0" w:oddHBand="0" w:evenHBand="0" w:firstRowFirstColumn="0" w:firstRowLastColumn="0" w:lastRowFirstColumn="0" w:lastRowLastColumn="0"/>
            <w:tcW w:w="2707" w:type="dxa"/>
            <w:vAlign w:val="center"/>
          </w:tcPr>
          <w:p w:rsidR="005A1B74" w:rsidRPr="00281D1F" w:rsidRDefault="005A1B74" w:rsidP="002D1E7C">
            <w:pPr>
              <w:ind w:left="180" w:hanging="180"/>
              <w:jc w:val="center"/>
              <w:rPr>
                <w:rFonts w:asciiTheme="minorHAnsi" w:hAnsiTheme="minorHAnsi"/>
                <w:sz w:val="22"/>
                <w:szCs w:val="22"/>
                <w:lang w:val="sr-Cyrl-BA"/>
              </w:rPr>
            </w:pPr>
            <w:r w:rsidRPr="00281D1F">
              <w:rPr>
                <w:rFonts w:asciiTheme="minorHAnsi" w:hAnsiTheme="minorHAnsi"/>
                <w:sz w:val="22"/>
                <w:szCs w:val="22"/>
                <w:lang w:val="sr-Cyrl-BA"/>
              </w:rPr>
              <w:t>Rješenja</w:t>
            </w:r>
          </w:p>
        </w:tc>
        <w:tc>
          <w:tcPr>
            <w:tcW w:w="1706" w:type="dxa"/>
            <w:vAlign w:val="center"/>
          </w:tcPr>
          <w:p w:rsidR="005A1B74" w:rsidRPr="00281D1F" w:rsidRDefault="005A1B74" w:rsidP="002D1E7C">
            <w:pPr>
              <w:ind w:left="180" w:hanging="18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highlight w:val="yellow"/>
                <w:lang w:val="sr-Cyrl-BA"/>
              </w:rPr>
            </w:pPr>
            <w:r>
              <w:rPr>
                <w:rFonts w:asciiTheme="minorHAnsi" w:hAnsiTheme="minorHAnsi"/>
                <w:sz w:val="22"/>
                <w:szCs w:val="22"/>
                <w:lang w:val="sr-Cyrl-BA"/>
              </w:rPr>
              <w:t>227</w:t>
            </w:r>
          </w:p>
        </w:tc>
        <w:tc>
          <w:tcPr>
            <w:cnfStyle w:val="000010000000" w:firstRow="0" w:lastRow="0" w:firstColumn="0" w:lastColumn="0" w:oddVBand="1" w:evenVBand="0" w:oddHBand="0" w:evenHBand="0" w:firstRowFirstColumn="0" w:firstRowLastColumn="0" w:lastRowFirstColumn="0" w:lastRowLastColumn="0"/>
            <w:tcW w:w="2428" w:type="dxa"/>
            <w:vAlign w:val="center"/>
          </w:tcPr>
          <w:p w:rsidR="005A1B74" w:rsidRPr="00281D1F" w:rsidRDefault="005A1B74" w:rsidP="002D1E7C">
            <w:pPr>
              <w:ind w:left="180" w:hanging="180"/>
              <w:jc w:val="center"/>
              <w:rPr>
                <w:rFonts w:asciiTheme="minorHAnsi" w:hAnsiTheme="minorHAnsi"/>
                <w:sz w:val="22"/>
                <w:szCs w:val="22"/>
                <w:lang w:val="sr-Cyrl-BA"/>
              </w:rPr>
            </w:pPr>
            <w:r w:rsidRPr="00281D1F">
              <w:rPr>
                <w:rFonts w:asciiTheme="minorHAnsi" w:hAnsiTheme="minorHAnsi"/>
                <w:sz w:val="22"/>
                <w:szCs w:val="22"/>
                <w:lang w:val="sr-Cyrl-BA"/>
              </w:rPr>
              <w:t>Rješenja</w:t>
            </w:r>
          </w:p>
        </w:tc>
        <w:tc>
          <w:tcPr>
            <w:tcW w:w="1893" w:type="dxa"/>
            <w:vAlign w:val="center"/>
          </w:tcPr>
          <w:p w:rsidR="005A1B74" w:rsidRPr="00281D1F" w:rsidRDefault="005A1B74" w:rsidP="002D1E7C">
            <w:pPr>
              <w:ind w:left="180" w:hanging="18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highlight w:val="yellow"/>
                <w:lang w:val="sr-Cyrl-BA"/>
              </w:rPr>
            </w:pPr>
            <w:r>
              <w:rPr>
                <w:rFonts w:asciiTheme="minorHAnsi" w:hAnsiTheme="minorHAnsi"/>
                <w:sz w:val="22"/>
                <w:szCs w:val="22"/>
                <w:lang w:val="sr-Cyrl-BA"/>
              </w:rPr>
              <w:t>21</w:t>
            </w:r>
          </w:p>
        </w:tc>
      </w:tr>
      <w:tr w:rsidR="005A1B74" w:rsidRPr="00281D1F" w:rsidTr="002D1E7C">
        <w:trPr>
          <w:cnfStyle w:val="000000100000" w:firstRow="0" w:lastRow="0" w:firstColumn="0" w:lastColumn="0" w:oddVBand="0" w:evenVBand="0" w:oddHBand="1" w:evenHBand="0" w:firstRowFirstColumn="0" w:firstRowLastColumn="0" w:lastRowFirstColumn="0" w:lastRowLastColumn="0"/>
          <w:trHeight w:val="451"/>
          <w:jc w:val="center"/>
        </w:trPr>
        <w:tc>
          <w:tcPr>
            <w:cnfStyle w:val="000010000000" w:firstRow="0" w:lastRow="0" w:firstColumn="0" w:lastColumn="0" w:oddVBand="1" w:evenVBand="0" w:oddHBand="0" w:evenHBand="0" w:firstRowFirstColumn="0" w:firstRowLastColumn="0" w:lastRowFirstColumn="0" w:lastRowLastColumn="0"/>
            <w:tcW w:w="2707" w:type="dxa"/>
            <w:vAlign w:val="center"/>
          </w:tcPr>
          <w:p w:rsidR="005A1B74" w:rsidRPr="00281D1F" w:rsidRDefault="005A1B74" w:rsidP="002D1E7C">
            <w:pPr>
              <w:jc w:val="center"/>
              <w:rPr>
                <w:rFonts w:asciiTheme="minorHAnsi" w:hAnsiTheme="minorHAnsi"/>
                <w:sz w:val="22"/>
                <w:szCs w:val="22"/>
                <w:lang w:val="sr-Cyrl-BA"/>
              </w:rPr>
            </w:pPr>
            <w:r w:rsidRPr="00281D1F">
              <w:rPr>
                <w:rFonts w:asciiTheme="minorHAnsi" w:hAnsiTheme="minorHAnsi"/>
                <w:sz w:val="22"/>
                <w:szCs w:val="22"/>
                <w:lang w:val="sr-Cyrl-BA"/>
              </w:rPr>
              <w:t>Zaključci</w:t>
            </w:r>
          </w:p>
        </w:tc>
        <w:tc>
          <w:tcPr>
            <w:tcW w:w="1706" w:type="dxa"/>
            <w:vAlign w:val="center"/>
          </w:tcPr>
          <w:p w:rsidR="005A1B74" w:rsidRPr="00281D1F" w:rsidRDefault="005A1B74" w:rsidP="002D1E7C">
            <w:pPr>
              <w:ind w:left="180" w:hanging="18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highlight w:val="yellow"/>
                <w:lang w:val="sr-Cyrl-BA"/>
              </w:rPr>
            </w:pPr>
            <w:r>
              <w:rPr>
                <w:rFonts w:asciiTheme="minorHAnsi" w:hAnsiTheme="minorHAnsi"/>
                <w:sz w:val="22"/>
                <w:szCs w:val="22"/>
                <w:lang w:val="sr-Cyrl-BA"/>
              </w:rPr>
              <w:t>251</w:t>
            </w:r>
          </w:p>
        </w:tc>
        <w:tc>
          <w:tcPr>
            <w:cnfStyle w:val="000010000000" w:firstRow="0" w:lastRow="0" w:firstColumn="0" w:lastColumn="0" w:oddVBand="1" w:evenVBand="0" w:oddHBand="0" w:evenHBand="0" w:firstRowFirstColumn="0" w:firstRowLastColumn="0" w:lastRowFirstColumn="0" w:lastRowLastColumn="0"/>
            <w:tcW w:w="2428" w:type="dxa"/>
            <w:vAlign w:val="center"/>
          </w:tcPr>
          <w:p w:rsidR="005A1B74" w:rsidRPr="00281D1F" w:rsidRDefault="005A1B74" w:rsidP="002D1E7C">
            <w:pPr>
              <w:jc w:val="center"/>
              <w:rPr>
                <w:rFonts w:asciiTheme="minorHAnsi" w:hAnsiTheme="minorHAnsi"/>
                <w:sz w:val="22"/>
                <w:szCs w:val="22"/>
                <w:lang w:val="sr-Cyrl-BA"/>
              </w:rPr>
            </w:pPr>
            <w:r w:rsidRPr="00281D1F">
              <w:rPr>
                <w:rFonts w:asciiTheme="minorHAnsi" w:hAnsiTheme="minorHAnsi"/>
                <w:sz w:val="22"/>
                <w:szCs w:val="22"/>
                <w:lang w:val="sr-Cyrl-BA"/>
              </w:rPr>
              <w:t>Zaključci</w:t>
            </w:r>
          </w:p>
        </w:tc>
        <w:tc>
          <w:tcPr>
            <w:tcW w:w="1893" w:type="dxa"/>
            <w:vAlign w:val="center"/>
          </w:tcPr>
          <w:p w:rsidR="005A1B74" w:rsidRPr="00281D1F" w:rsidRDefault="005A1B74" w:rsidP="002D1E7C">
            <w:pPr>
              <w:ind w:left="180" w:hanging="18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highlight w:val="yellow"/>
                <w:lang w:val="sr-Cyrl-BA"/>
              </w:rPr>
            </w:pPr>
            <w:r w:rsidRPr="00281D1F">
              <w:rPr>
                <w:rFonts w:asciiTheme="minorHAnsi" w:hAnsiTheme="minorHAnsi"/>
                <w:sz w:val="22"/>
                <w:szCs w:val="22"/>
                <w:lang w:val="sr-Cyrl-BA"/>
              </w:rPr>
              <w:t>4</w:t>
            </w:r>
            <w:r>
              <w:rPr>
                <w:rFonts w:asciiTheme="minorHAnsi" w:hAnsiTheme="minorHAnsi"/>
                <w:sz w:val="22"/>
                <w:szCs w:val="22"/>
                <w:lang w:val="sr-Cyrl-BA"/>
              </w:rPr>
              <w:t>9</w:t>
            </w:r>
          </w:p>
        </w:tc>
      </w:tr>
      <w:tr w:rsidR="005A1B74" w:rsidRPr="00281D1F" w:rsidTr="002D1E7C">
        <w:trPr>
          <w:jc w:val="center"/>
        </w:trPr>
        <w:tc>
          <w:tcPr>
            <w:cnfStyle w:val="000010000000" w:firstRow="0" w:lastRow="0" w:firstColumn="0" w:lastColumn="0" w:oddVBand="1" w:evenVBand="0" w:oddHBand="0" w:evenHBand="0" w:firstRowFirstColumn="0" w:firstRowLastColumn="0" w:lastRowFirstColumn="0" w:lastRowLastColumn="0"/>
            <w:tcW w:w="2707" w:type="dxa"/>
            <w:vAlign w:val="center"/>
          </w:tcPr>
          <w:p w:rsidR="005A1B74" w:rsidRPr="00281D1F" w:rsidRDefault="005A1B74" w:rsidP="002D1E7C">
            <w:pPr>
              <w:jc w:val="center"/>
              <w:rPr>
                <w:rFonts w:asciiTheme="minorHAnsi" w:hAnsiTheme="minorHAnsi"/>
                <w:sz w:val="22"/>
                <w:szCs w:val="22"/>
                <w:lang w:val="sr-Cyrl-BA"/>
              </w:rPr>
            </w:pPr>
            <w:r w:rsidRPr="00281D1F">
              <w:rPr>
                <w:rFonts w:asciiTheme="minorHAnsi" w:hAnsiTheme="minorHAnsi"/>
                <w:sz w:val="22"/>
                <w:szCs w:val="22"/>
                <w:lang w:val="sr-Cyrl-BA"/>
              </w:rPr>
              <w:t>Opšti akti iz regulatorne nadležnosti</w:t>
            </w:r>
          </w:p>
        </w:tc>
        <w:tc>
          <w:tcPr>
            <w:tcW w:w="1706" w:type="dxa"/>
            <w:vAlign w:val="center"/>
          </w:tcPr>
          <w:p w:rsidR="005A1B74" w:rsidRPr="00281D1F" w:rsidRDefault="005A1B74" w:rsidP="002D1E7C">
            <w:pPr>
              <w:ind w:left="180" w:hanging="18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highlight w:val="yellow"/>
                <w:lang w:val="sr-Cyrl-BA"/>
              </w:rPr>
            </w:pPr>
            <w:r>
              <w:rPr>
                <w:rFonts w:asciiTheme="minorHAnsi" w:hAnsiTheme="minorHAnsi"/>
                <w:sz w:val="22"/>
                <w:szCs w:val="22"/>
                <w:lang w:val="sr-Cyrl-BA"/>
              </w:rPr>
              <w:t>14</w:t>
            </w:r>
          </w:p>
        </w:tc>
        <w:tc>
          <w:tcPr>
            <w:cnfStyle w:val="000010000000" w:firstRow="0" w:lastRow="0" w:firstColumn="0" w:lastColumn="0" w:oddVBand="1" w:evenVBand="0" w:oddHBand="0" w:evenHBand="0" w:firstRowFirstColumn="0" w:firstRowLastColumn="0" w:lastRowFirstColumn="0" w:lastRowLastColumn="0"/>
            <w:tcW w:w="2428" w:type="dxa"/>
            <w:vAlign w:val="center"/>
          </w:tcPr>
          <w:p w:rsidR="005A1B74" w:rsidRPr="00281D1F" w:rsidRDefault="005A1B74" w:rsidP="002D1E7C">
            <w:pPr>
              <w:ind w:left="180" w:hanging="180"/>
              <w:jc w:val="center"/>
              <w:rPr>
                <w:rFonts w:asciiTheme="minorHAnsi" w:hAnsiTheme="minorHAnsi"/>
                <w:sz w:val="22"/>
                <w:szCs w:val="22"/>
                <w:lang w:val="sr-Cyrl-BA"/>
              </w:rPr>
            </w:pPr>
            <w:r w:rsidRPr="00281D1F">
              <w:rPr>
                <w:rFonts w:asciiTheme="minorHAnsi" w:hAnsiTheme="minorHAnsi"/>
                <w:sz w:val="22"/>
                <w:szCs w:val="22"/>
                <w:lang w:val="sr-Cyrl-BA"/>
              </w:rPr>
              <w:t>Pravilnici</w:t>
            </w:r>
          </w:p>
        </w:tc>
        <w:tc>
          <w:tcPr>
            <w:tcW w:w="1893" w:type="dxa"/>
            <w:vAlign w:val="center"/>
          </w:tcPr>
          <w:p w:rsidR="005A1B74" w:rsidRPr="00281D1F" w:rsidRDefault="005A1B74" w:rsidP="002D1E7C">
            <w:pPr>
              <w:ind w:left="180" w:hanging="18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highlight w:val="yellow"/>
                <w:lang w:val="sr-Cyrl-BA"/>
              </w:rPr>
            </w:pPr>
            <w:r>
              <w:rPr>
                <w:rFonts w:asciiTheme="minorHAnsi" w:hAnsiTheme="minorHAnsi"/>
                <w:sz w:val="22"/>
                <w:szCs w:val="22"/>
                <w:lang w:val="sr-Cyrl-BA"/>
              </w:rPr>
              <w:t>4</w:t>
            </w:r>
          </w:p>
        </w:tc>
      </w:tr>
      <w:tr w:rsidR="005A1B74" w:rsidRPr="00281D1F" w:rsidTr="002D1E7C">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2707" w:type="dxa"/>
            <w:vAlign w:val="center"/>
          </w:tcPr>
          <w:p w:rsidR="005A1B74" w:rsidRPr="00281D1F" w:rsidRDefault="005A1B74" w:rsidP="002D1E7C">
            <w:pPr>
              <w:ind w:left="14" w:hanging="14"/>
              <w:jc w:val="center"/>
              <w:rPr>
                <w:rFonts w:asciiTheme="minorHAnsi" w:hAnsiTheme="minorHAnsi"/>
                <w:sz w:val="22"/>
                <w:szCs w:val="22"/>
                <w:lang w:val="sr-Cyrl-BA"/>
              </w:rPr>
            </w:pPr>
            <w:r w:rsidRPr="00281D1F">
              <w:rPr>
                <w:rFonts w:asciiTheme="minorHAnsi" w:hAnsiTheme="minorHAnsi"/>
                <w:sz w:val="22"/>
                <w:szCs w:val="22"/>
                <w:lang w:val="sr-Cyrl-BA"/>
              </w:rPr>
              <w:t>Obavještenja za javnost</w:t>
            </w:r>
          </w:p>
        </w:tc>
        <w:tc>
          <w:tcPr>
            <w:tcW w:w="1706" w:type="dxa"/>
            <w:vAlign w:val="center"/>
          </w:tcPr>
          <w:p w:rsidR="005A1B74" w:rsidRPr="00281D1F" w:rsidRDefault="005A1B74" w:rsidP="002D1E7C">
            <w:pPr>
              <w:ind w:left="180" w:hanging="18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highlight w:val="yellow"/>
                <w:lang w:val="sr-Cyrl-BA"/>
              </w:rPr>
            </w:pPr>
            <w:r>
              <w:rPr>
                <w:rFonts w:asciiTheme="minorHAnsi" w:hAnsiTheme="minorHAnsi"/>
                <w:sz w:val="22"/>
                <w:szCs w:val="22"/>
                <w:lang w:val="sr-Cyrl-BA"/>
              </w:rPr>
              <w:t>237</w:t>
            </w:r>
          </w:p>
        </w:tc>
        <w:tc>
          <w:tcPr>
            <w:cnfStyle w:val="000010000000" w:firstRow="0" w:lastRow="0" w:firstColumn="0" w:lastColumn="0" w:oddVBand="1" w:evenVBand="0" w:oddHBand="0" w:evenHBand="0" w:firstRowFirstColumn="0" w:firstRowLastColumn="0" w:lastRowFirstColumn="0" w:lastRowLastColumn="0"/>
            <w:tcW w:w="2428" w:type="dxa"/>
            <w:vAlign w:val="center"/>
          </w:tcPr>
          <w:p w:rsidR="005A1B74" w:rsidRPr="00281D1F" w:rsidRDefault="005A1B74" w:rsidP="002D1E7C">
            <w:pPr>
              <w:ind w:left="180" w:hanging="180"/>
              <w:jc w:val="center"/>
              <w:rPr>
                <w:rFonts w:asciiTheme="minorHAnsi" w:hAnsiTheme="minorHAnsi"/>
                <w:sz w:val="22"/>
                <w:szCs w:val="22"/>
                <w:lang w:val="sr-Cyrl-BA"/>
              </w:rPr>
            </w:pPr>
            <w:r w:rsidRPr="00281D1F">
              <w:rPr>
                <w:rFonts w:asciiTheme="minorHAnsi" w:hAnsiTheme="minorHAnsi"/>
                <w:sz w:val="22"/>
                <w:szCs w:val="22"/>
                <w:lang w:val="sr-Cyrl-BA"/>
              </w:rPr>
              <w:t>Uputstva</w:t>
            </w:r>
          </w:p>
        </w:tc>
        <w:tc>
          <w:tcPr>
            <w:tcW w:w="1893" w:type="dxa"/>
            <w:vAlign w:val="center"/>
          </w:tcPr>
          <w:p w:rsidR="005A1B74" w:rsidRPr="00281D1F" w:rsidRDefault="005A1B74" w:rsidP="002D1E7C">
            <w:pPr>
              <w:ind w:left="180" w:hanging="18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highlight w:val="yellow"/>
                <w:lang w:val="sr-Cyrl-BA"/>
              </w:rPr>
            </w:pPr>
            <w:r>
              <w:rPr>
                <w:rFonts w:asciiTheme="minorHAnsi" w:hAnsiTheme="minorHAnsi"/>
                <w:sz w:val="22"/>
                <w:szCs w:val="22"/>
                <w:lang w:val="sr-Cyrl-BA"/>
              </w:rPr>
              <w:t>3</w:t>
            </w:r>
          </w:p>
        </w:tc>
      </w:tr>
      <w:tr w:rsidR="005A1B74" w:rsidRPr="00281D1F" w:rsidTr="002D1E7C">
        <w:trPr>
          <w:jc w:val="center"/>
        </w:trPr>
        <w:tc>
          <w:tcPr>
            <w:cnfStyle w:val="000010000000" w:firstRow="0" w:lastRow="0" w:firstColumn="0" w:lastColumn="0" w:oddVBand="1" w:evenVBand="0" w:oddHBand="0" w:evenHBand="0" w:firstRowFirstColumn="0" w:firstRowLastColumn="0" w:lastRowFirstColumn="0" w:lastRowLastColumn="0"/>
            <w:tcW w:w="2707" w:type="dxa"/>
            <w:vAlign w:val="center"/>
          </w:tcPr>
          <w:p w:rsidR="005A1B74" w:rsidRPr="00281D1F" w:rsidRDefault="005A1B74" w:rsidP="002D1E7C">
            <w:pPr>
              <w:jc w:val="center"/>
              <w:rPr>
                <w:rFonts w:asciiTheme="minorHAnsi" w:hAnsiTheme="minorHAnsi"/>
                <w:sz w:val="22"/>
                <w:szCs w:val="22"/>
                <w:lang w:val="sr-Cyrl-BA"/>
              </w:rPr>
            </w:pPr>
            <w:r w:rsidRPr="00281D1F">
              <w:rPr>
                <w:rFonts w:asciiTheme="minorHAnsi" w:hAnsiTheme="minorHAnsi"/>
                <w:sz w:val="22"/>
                <w:szCs w:val="22"/>
                <w:lang w:val="sr-Cyrl-BA"/>
              </w:rPr>
              <w:t>Zapisnici</w:t>
            </w:r>
          </w:p>
        </w:tc>
        <w:tc>
          <w:tcPr>
            <w:tcW w:w="1706" w:type="dxa"/>
            <w:vAlign w:val="center"/>
          </w:tcPr>
          <w:p w:rsidR="005A1B74" w:rsidRPr="00281D1F" w:rsidRDefault="005A1B74" w:rsidP="002D1E7C">
            <w:pPr>
              <w:ind w:left="180" w:hanging="18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lang w:val="sr-Cyrl-BA"/>
              </w:rPr>
            </w:pPr>
            <w:r>
              <w:rPr>
                <w:rFonts w:asciiTheme="minorHAnsi" w:hAnsiTheme="minorHAnsi"/>
                <w:sz w:val="22"/>
                <w:szCs w:val="22"/>
                <w:lang w:val="sr-Cyrl-BA"/>
              </w:rPr>
              <w:t>38</w:t>
            </w:r>
          </w:p>
        </w:tc>
        <w:tc>
          <w:tcPr>
            <w:cnfStyle w:val="000010000000" w:firstRow="0" w:lastRow="0" w:firstColumn="0" w:lastColumn="0" w:oddVBand="1" w:evenVBand="0" w:oddHBand="0" w:evenHBand="0" w:firstRowFirstColumn="0" w:firstRowLastColumn="0" w:lastRowFirstColumn="0" w:lastRowLastColumn="0"/>
            <w:tcW w:w="2428" w:type="dxa"/>
            <w:vAlign w:val="center"/>
          </w:tcPr>
          <w:p w:rsidR="005A1B74" w:rsidRPr="00281D1F" w:rsidRDefault="005A1B74" w:rsidP="002D1E7C">
            <w:pPr>
              <w:jc w:val="center"/>
              <w:rPr>
                <w:rFonts w:asciiTheme="minorHAnsi" w:hAnsiTheme="minorHAnsi"/>
                <w:sz w:val="22"/>
                <w:szCs w:val="22"/>
                <w:lang w:val="sr-Cyrl-BA"/>
              </w:rPr>
            </w:pPr>
            <w:r w:rsidRPr="00281D1F">
              <w:rPr>
                <w:rFonts w:asciiTheme="minorHAnsi" w:hAnsiTheme="minorHAnsi"/>
                <w:sz w:val="22"/>
                <w:szCs w:val="22"/>
                <w:lang w:val="sr-Cyrl-BA"/>
              </w:rPr>
              <w:t>Zapisnici</w:t>
            </w:r>
          </w:p>
        </w:tc>
        <w:tc>
          <w:tcPr>
            <w:tcW w:w="1893" w:type="dxa"/>
            <w:vAlign w:val="center"/>
          </w:tcPr>
          <w:p w:rsidR="005A1B74" w:rsidRPr="00281D1F" w:rsidRDefault="005A1B74" w:rsidP="002D1E7C">
            <w:pPr>
              <w:keepNext/>
              <w:ind w:left="180" w:hanging="18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lang w:val="sr-Cyrl-BA"/>
              </w:rPr>
            </w:pPr>
            <w:r>
              <w:rPr>
                <w:rFonts w:asciiTheme="minorHAnsi" w:hAnsiTheme="minorHAnsi"/>
                <w:sz w:val="22"/>
                <w:szCs w:val="22"/>
                <w:lang w:val="sr-Cyrl-BA"/>
              </w:rPr>
              <w:t>20</w:t>
            </w:r>
          </w:p>
        </w:tc>
      </w:tr>
    </w:tbl>
    <w:p w:rsidR="005A1B74" w:rsidRPr="00281D1F" w:rsidRDefault="005A1B74" w:rsidP="002D1E7C">
      <w:pPr>
        <w:spacing w:before="120" w:after="60"/>
        <w:jc w:val="both"/>
        <w:rPr>
          <w:rFonts w:asciiTheme="minorHAnsi" w:hAnsiTheme="minorHAnsi"/>
          <w:sz w:val="22"/>
          <w:szCs w:val="22"/>
          <w:lang w:val="sr-Cyrl-BA"/>
        </w:rPr>
      </w:pPr>
      <w:r w:rsidRPr="00281D1F">
        <w:rPr>
          <w:rFonts w:asciiTheme="minorHAnsi" w:hAnsiTheme="minorHAnsi"/>
          <w:sz w:val="22"/>
          <w:szCs w:val="22"/>
          <w:lang w:val="sr-Cyrl-BA"/>
        </w:rPr>
        <w:t xml:space="preserve">Regulatorna komisija je tokom </w:t>
      </w:r>
      <w:r>
        <w:rPr>
          <w:rFonts w:asciiTheme="minorHAnsi" w:hAnsiTheme="minorHAnsi"/>
          <w:sz w:val="22"/>
          <w:szCs w:val="22"/>
          <w:lang w:val="sr-Cyrl-BA"/>
        </w:rPr>
        <w:t>2024.</w:t>
      </w:r>
      <w:r w:rsidRPr="00281D1F">
        <w:rPr>
          <w:rFonts w:asciiTheme="minorHAnsi" w:hAnsiTheme="minorHAnsi"/>
          <w:sz w:val="22"/>
          <w:szCs w:val="22"/>
          <w:lang w:val="sr-Cyrl-BA"/>
        </w:rPr>
        <w:t xml:space="preserve"> godine, uvažavajući načelo javnosti svog rada, održala </w:t>
      </w:r>
      <w:r>
        <w:rPr>
          <w:rFonts w:asciiTheme="minorHAnsi" w:hAnsiTheme="minorHAnsi"/>
          <w:sz w:val="22"/>
          <w:szCs w:val="22"/>
          <w:lang w:val="sr-Cyrl-BA"/>
        </w:rPr>
        <w:t>43</w:t>
      </w:r>
      <w:r w:rsidRPr="00281D1F">
        <w:rPr>
          <w:rFonts w:asciiTheme="minorHAnsi" w:hAnsiTheme="minorHAnsi"/>
          <w:sz w:val="22"/>
          <w:szCs w:val="22"/>
          <w:lang w:val="sr-Cyrl-BA"/>
        </w:rPr>
        <w:t xml:space="preserve"> javn</w:t>
      </w:r>
      <w:r>
        <w:rPr>
          <w:rFonts w:asciiTheme="minorHAnsi" w:hAnsiTheme="minorHAnsi"/>
          <w:sz w:val="22"/>
          <w:szCs w:val="22"/>
          <w:lang w:val="sr-Cyrl-BA"/>
        </w:rPr>
        <w:t>e</w:t>
      </w:r>
      <w:r w:rsidRPr="00281D1F">
        <w:rPr>
          <w:rFonts w:asciiTheme="minorHAnsi" w:hAnsiTheme="minorHAnsi"/>
          <w:sz w:val="22"/>
          <w:szCs w:val="22"/>
          <w:lang w:val="sr-Cyrl-BA"/>
        </w:rPr>
        <w:t xml:space="preserve"> rasprav</w:t>
      </w:r>
      <w:r>
        <w:rPr>
          <w:rFonts w:asciiTheme="minorHAnsi" w:hAnsiTheme="minorHAnsi"/>
          <w:sz w:val="22"/>
          <w:szCs w:val="22"/>
          <w:lang w:val="sr-Cyrl-BA"/>
        </w:rPr>
        <w:t>e</w:t>
      </w:r>
      <w:r w:rsidRPr="00281D1F">
        <w:rPr>
          <w:rFonts w:asciiTheme="minorHAnsi" w:hAnsiTheme="minorHAnsi"/>
          <w:sz w:val="22"/>
          <w:szCs w:val="22"/>
          <w:lang w:val="sr-Cyrl-BA"/>
        </w:rPr>
        <w:t xml:space="preserve"> i to:</w:t>
      </w:r>
    </w:p>
    <w:p w:rsidR="005A1B74" w:rsidRDefault="005A1B74" w:rsidP="002D1E7C">
      <w:pPr>
        <w:numPr>
          <w:ilvl w:val="0"/>
          <w:numId w:val="7"/>
        </w:numPr>
        <w:tabs>
          <w:tab w:val="clear" w:pos="1080"/>
          <w:tab w:val="num" w:pos="0"/>
        </w:tabs>
        <w:ind w:left="0" w:firstLine="284"/>
        <w:jc w:val="both"/>
        <w:rPr>
          <w:rFonts w:asciiTheme="minorHAnsi" w:hAnsiTheme="minorHAnsi"/>
          <w:sz w:val="22"/>
          <w:szCs w:val="22"/>
          <w:lang w:val="sr-Cyrl-BA"/>
        </w:rPr>
      </w:pPr>
      <w:r w:rsidRPr="00281D1F">
        <w:rPr>
          <w:rFonts w:asciiTheme="minorHAnsi" w:hAnsiTheme="minorHAnsi"/>
          <w:sz w:val="22"/>
          <w:szCs w:val="22"/>
          <w:lang w:val="sr-Cyrl-BA"/>
        </w:rPr>
        <w:t>u postupcima donošenja opštih normativnih akata,</w:t>
      </w:r>
    </w:p>
    <w:p w:rsidR="005A1B74" w:rsidRPr="00281D1F" w:rsidRDefault="005A1B74" w:rsidP="002D1E7C">
      <w:pPr>
        <w:numPr>
          <w:ilvl w:val="0"/>
          <w:numId w:val="7"/>
        </w:numPr>
        <w:tabs>
          <w:tab w:val="clear" w:pos="1080"/>
          <w:tab w:val="num" w:pos="0"/>
        </w:tabs>
        <w:ind w:left="0" w:firstLine="284"/>
        <w:jc w:val="both"/>
        <w:rPr>
          <w:rFonts w:asciiTheme="minorHAnsi" w:hAnsiTheme="minorHAnsi"/>
          <w:sz w:val="22"/>
          <w:szCs w:val="22"/>
          <w:lang w:val="sr-Cyrl-BA"/>
        </w:rPr>
      </w:pPr>
      <w:r>
        <w:rPr>
          <w:rFonts w:asciiTheme="minorHAnsi" w:hAnsiTheme="minorHAnsi"/>
          <w:sz w:val="22"/>
          <w:szCs w:val="22"/>
          <w:lang w:val="sr-Cyrl-BA"/>
        </w:rPr>
        <w:t>u postupcima u vezi sa tarifama – električna energija i prirodni gas,</w:t>
      </w:r>
    </w:p>
    <w:p w:rsidR="005A1B74" w:rsidRPr="00281D1F" w:rsidRDefault="005A1B74" w:rsidP="002D1E7C">
      <w:pPr>
        <w:numPr>
          <w:ilvl w:val="0"/>
          <w:numId w:val="7"/>
        </w:numPr>
        <w:tabs>
          <w:tab w:val="clear" w:pos="1080"/>
          <w:tab w:val="num" w:pos="0"/>
        </w:tabs>
        <w:ind w:left="0" w:firstLine="284"/>
        <w:jc w:val="both"/>
        <w:rPr>
          <w:rFonts w:asciiTheme="minorHAnsi" w:hAnsiTheme="minorHAnsi"/>
          <w:sz w:val="22"/>
          <w:szCs w:val="22"/>
          <w:lang w:val="sr-Cyrl-BA"/>
        </w:rPr>
      </w:pPr>
      <w:r w:rsidRPr="00281D1F">
        <w:rPr>
          <w:rFonts w:asciiTheme="minorHAnsi" w:hAnsiTheme="minorHAnsi"/>
          <w:sz w:val="22"/>
          <w:szCs w:val="22"/>
          <w:lang w:val="sr-Cyrl-BA"/>
        </w:rPr>
        <w:t xml:space="preserve">u postupcima izdavanja dozvola i </w:t>
      </w:r>
    </w:p>
    <w:p w:rsidR="005A1B74" w:rsidRPr="00281D1F" w:rsidRDefault="005A1B74" w:rsidP="002D1E7C">
      <w:pPr>
        <w:numPr>
          <w:ilvl w:val="0"/>
          <w:numId w:val="7"/>
        </w:numPr>
        <w:tabs>
          <w:tab w:val="clear" w:pos="1080"/>
          <w:tab w:val="num" w:pos="0"/>
        </w:tabs>
        <w:ind w:left="0" w:firstLine="284"/>
        <w:jc w:val="both"/>
        <w:rPr>
          <w:rFonts w:asciiTheme="minorHAnsi" w:hAnsiTheme="minorHAnsi"/>
          <w:sz w:val="22"/>
          <w:szCs w:val="22"/>
          <w:lang w:val="sr-Cyrl-BA"/>
        </w:rPr>
      </w:pPr>
      <w:r w:rsidRPr="00281D1F">
        <w:rPr>
          <w:rFonts w:asciiTheme="minorHAnsi" w:hAnsiTheme="minorHAnsi"/>
          <w:sz w:val="22"/>
          <w:szCs w:val="22"/>
          <w:lang w:val="sr-Cyrl-BA"/>
        </w:rPr>
        <w:t>u postupcima rješavanja sporova</w:t>
      </w:r>
      <w:r>
        <w:rPr>
          <w:rFonts w:asciiTheme="minorHAnsi" w:hAnsiTheme="minorHAnsi"/>
          <w:sz w:val="22"/>
          <w:szCs w:val="22"/>
          <w:lang w:val="sr-Cyrl-BA"/>
        </w:rPr>
        <w:t xml:space="preserve"> i žalbi</w:t>
      </w:r>
    </w:p>
    <w:p w:rsidR="005A1B74" w:rsidRPr="00281D1F" w:rsidRDefault="005A1B74" w:rsidP="002D1E7C">
      <w:pPr>
        <w:spacing w:before="120" w:after="120"/>
        <w:jc w:val="both"/>
        <w:rPr>
          <w:rFonts w:asciiTheme="minorHAnsi" w:hAnsiTheme="minorHAnsi"/>
          <w:sz w:val="22"/>
          <w:szCs w:val="22"/>
          <w:lang w:val="sr-Cyrl-BA"/>
        </w:rPr>
      </w:pPr>
      <w:r w:rsidRPr="00281D1F">
        <w:rPr>
          <w:rFonts w:asciiTheme="minorHAnsi" w:hAnsiTheme="minorHAnsi"/>
          <w:sz w:val="22"/>
          <w:szCs w:val="22"/>
          <w:lang w:val="sr-Cyrl-BA"/>
        </w:rPr>
        <w:t>U tabeli 2 prikazan je broj javnih rasprava po strukturi i vrsti javnih rasprava.</w:t>
      </w:r>
    </w:p>
    <w:p w:rsidR="005A1B74" w:rsidRDefault="005A1B74" w:rsidP="002D1E7C">
      <w:pPr>
        <w:spacing w:before="120" w:after="120"/>
        <w:rPr>
          <w:rFonts w:asciiTheme="minorHAnsi" w:hAnsiTheme="minorHAnsi"/>
          <w:bCs/>
          <w:i/>
          <w:iCs/>
          <w:sz w:val="22"/>
          <w:szCs w:val="22"/>
          <w:lang w:val="sr-Cyrl-BA"/>
        </w:rPr>
      </w:pPr>
      <w:r w:rsidRPr="00281D1F">
        <w:rPr>
          <w:rFonts w:asciiTheme="minorHAnsi" w:hAnsiTheme="minorHAnsi"/>
          <w:b/>
          <w:sz w:val="20"/>
          <w:szCs w:val="20"/>
          <w:lang w:val="sr-Cyrl-BA"/>
        </w:rPr>
        <w:t>Tabela 2</w:t>
      </w:r>
      <w:r w:rsidRPr="00281D1F">
        <w:rPr>
          <w:rFonts w:asciiTheme="minorHAnsi" w:hAnsiTheme="minorHAnsi"/>
          <w:b/>
          <w:sz w:val="22"/>
          <w:szCs w:val="22"/>
          <w:lang w:val="sr-Cyrl-BA"/>
        </w:rPr>
        <w:t xml:space="preserve"> </w:t>
      </w:r>
      <w:r w:rsidRPr="00281D1F">
        <w:rPr>
          <w:rFonts w:asciiTheme="minorHAnsi" w:hAnsiTheme="minorHAnsi"/>
          <w:sz w:val="22"/>
          <w:szCs w:val="22"/>
          <w:lang w:val="sr-Cyrl-BA"/>
        </w:rPr>
        <w:t>-</w:t>
      </w:r>
      <w:r w:rsidRPr="00281D1F">
        <w:rPr>
          <w:rFonts w:asciiTheme="minorHAnsi" w:hAnsiTheme="minorHAnsi"/>
          <w:lang w:val="sr-Cyrl-BA"/>
        </w:rPr>
        <w:t xml:space="preserve"> </w:t>
      </w:r>
      <w:r w:rsidRPr="00281D1F">
        <w:rPr>
          <w:rFonts w:asciiTheme="minorHAnsi" w:hAnsiTheme="minorHAnsi"/>
          <w:bCs/>
          <w:i/>
          <w:iCs/>
          <w:sz w:val="22"/>
          <w:szCs w:val="22"/>
          <w:lang w:val="sr-Cyrl-BA"/>
        </w:rPr>
        <w:t>Struktura i broj javnih rasprava u 202</w:t>
      </w:r>
      <w:r>
        <w:rPr>
          <w:rFonts w:asciiTheme="minorHAnsi" w:hAnsiTheme="minorHAnsi"/>
          <w:bCs/>
          <w:i/>
          <w:iCs/>
          <w:sz w:val="22"/>
          <w:szCs w:val="22"/>
          <w:lang w:val="sr-Cyrl-BA"/>
        </w:rPr>
        <w:t>4</w:t>
      </w:r>
      <w:r w:rsidRPr="00281D1F">
        <w:rPr>
          <w:rFonts w:asciiTheme="minorHAnsi" w:hAnsiTheme="minorHAnsi"/>
          <w:bCs/>
          <w:i/>
          <w:iCs/>
          <w:sz w:val="22"/>
          <w:szCs w:val="22"/>
          <w:lang w:val="sr-Cyrl-BA"/>
        </w:rPr>
        <w:t>. godini</w:t>
      </w:r>
    </w:p>
    <w:tbl>
      <w:tblPr>
        <w:tblStyle w:val="MediumGrid3-Accent5"/>
        <w:tblW w:w="0" w:type="auto"/>
        <w:tblLook w:val="0000" w:firstRow="0" w:lastRow="0" w:firstColumn="0" w:lastColumn="0" w:noHBand="0" w:noVBand="0"/>
      </w:tblPr>
      <w:tblGrid>
        <w:gridCol w:w="1963"/>
        <w:gridCol w:w="1191"/>
        <w:gridCol w:w="1362"/>
        <w:gridCol w:w="1228"/>
        <w:gridCol w:w="1844"/>
        <w:gridCol w:w="1416"/>
      </w:tblGrid>
      <w:tr w:rsidR="005A1B74" w:rsidRPr="00281D1F" w:rsidTr="002D1E7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963" w:type="dxa"/>
            <w:vAlign w:val="center"/>
          </w:tcPr>
          <w:p w:rsidR="005A1B74" w:rsidRPr="00281D1F" w:rsidRDefault="005A1B74" w:rsidP="002D1E7C">
            <w:pPr>
              <w:jc w:val="center"/>
              <w:rPr>
                <w:rFonts w:asciiTheme="minorHAnsi" w:hAnsiTheme="minorHAnsi"/>
                <w:b/>
                <w:bCs/>
                <w:lang w:val="sr-Cyrl-BA"/>
              </w:rPr>
            </w:pPr>
            <w:r w:rsidRPr="00281D1F">
              <w:rPr>
                <w:rFonts w:asciiTheme="minorHAnsi" w:hAnsiTheme="minorHAnsi"/>
                <w:b/>
                <w:bCs/>
                <w:sz w:val="22"/>
                <w:szCs w:val="22"/>
                <w:lang w:val="sr-Cyrl-BA"/>
              </w:rPr>
              <w:t>Vrsta javne rasprave</w:t>
            </w:r>
          </w:p>
        </w:tc>
        <w:tc>
          <w:tcPr>
            <w:tcW w:w="1191" w:type="dxa"/>
            <w:vAlign w:val="center"/>
          </w:tcPr>
          <w:p w:rsidR="005A1B74" w:rsidRPr="00281D1F" w:rsidRDefault="005A1B74" w:rsidP="002D1E7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bCs/>
                <w:lang w:val="sr-Cyrl-BA"/>
              </w:rPr>
            </w:pPr>
            <w:r w:rsidRPr="00281D1F">
              <w:rPr>
                <w:rFonts w:asciiTheme="minorHAnsi" w:hAnsiTheme="minorHAnsi"/>
                <w:b/>
                <w:bCs/>
                <w:sz w:val="22"/>
                <w:szCs w:val="22"/>
                <w:lang w:val="sr-Cyrl-BA"/>
              </w:rPr>
              <w:t>Pravila i propisi</w:t>
            </w:r>
          </w:p>
        </w:tc>
        <w:tc>
          <w:tcPr>
            <w:cnfStyle w:val="000010000000" w:firstRow="0" w:lastRow="0" w:firstColumn="0" w:lastColumn="0" w:oddVBand="1" w:evenVBand="0" w:oddHBand="0" w:evenHBand="0" w:firstRowFirstColumn="0" w:firstRowLastColumn="0" w:lastRowFirstColumn="0" w:lastRowLastColumn="0"/>
            <w:tcW w:w="1362" w:type="dxa"/>
            <w:vAlign w:val="center"/>
          </w:tcPr>
          <w:p w:rsidR="005A1B74" w:rsidRPr="00281D1F" w:rsidRDefault="005A1B74" w:rsidP="002D1E7C">
            <w:pPr>
              <w:jc w:val="center"/>
              <w:rPr>
                <w:rFonts w:asciiTheme="minorHAnsi" w:hAnsiTheme="minorHAnsi"/>
                <w:b/>
                <w:bCs/>
                <w:lang w:val="sr-Cyrl-BA"/>
              </w:rPr>
            </w:pPr>
            <w:r w:rsidRPr="00281D1F">
              <w:rPr>
                <w:rFonts w:asciiTheme="minorHAnsi" w:hAnsiTheme="minorHAnsi"/>
                <w:b/>
                <w:bCs/>
                <w:sz w:val="22"/>
                <w:szCs w:val="22"/>
                <w:lang w:val="sr-Cyrl-BA"/>
              </w:rPr>
              <w:t>Izdavanje dozvola</w:t>
            </w:r>
          </w:p>
        </w:tc>
        <w:tc>
          <w:tcPr>
            <w:tcW w:w="1228" w:type="dxa"/>
            <w:vAlign w:val="center"/>
          </w:tcPr>
          <w:p w:rsidR="005A1B74" w:rsidRPr="00281D1F" w:rsidRDefault="005A1B74" w:rsidP="002D1E7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bCs/>
                <w:lang w:val="sr-Cyrl-BA"/>
              </w:rPr>
            </w:pPr>
            <w:r w:rsidRPr="00281D1F">
              <w:rPr>
                <w:rFonts w:asciiTheme="minorHAnsi" w:hAnsiTheme="minorHAnsi"/>
                <w:b/>
                <w:bCs/>
                <w:sz w:val="22"/>
                <w:szCs w:val="22"/>
                <w:lang w:val="sr-Cyrl-BA"/>
              </w:rPr>
              <w:t>Tarifni postupci</w:t>
            </w:r>
          </w:p>
        </w:tc>
        <w:tc>
          <w:tcPr>
            <w:cnfStyle w:val="000010000000" w:firstRow="0" w:lastRow="0" w:firstColumn="0" w:lastColumn="0" w:oddVBand="1" w:evenVBand="0" w:oddHBand="0" w:evenHBand="0" w:firstRowFirstColumn="0" w:firstRowLastColumn="0" w:lastRowFirstColumn="0" w:lastRowLastColumn="0"/>
            <w:tcW w:w="1844" w:type="dxa"/>
            <w:vAlign w:val="center"/>
          </w:tcPr>
          <w:p w:rsidR="005A1B74" w:rsidRPr="00281D1F" w:rsidRDefault="005A1B74" w:rsidP="002D1E7C">
            <w:pPr>
              <w:jc w:val="center"/>
              <w:rPr>
                <w:rFonts w:asciiTheme="minorHAnsi" w:hAnsiTheme="minorHAnsi"/>
                <w:b/>
                <w:bCs/>
                <w:lang w:val="sr-Cyrl-BA"/>
              </w:rPr>
            </w:pPr>
            <w:r w:rsidRPr="00281D1F">
              <w:rPr>
                <w:rFonts w:asciiTheme="minorHAnsi" w:hAnsiTheme="minorHAnsi"/>
                <w:b/>
                <w:bCs/>
                <w:sz w:val="22"/>
                <w:szCs w:val="22"/>
                <w:lang w:val="sr-Cyrl-BA"/>
              </w:rPr>
              <w:t>Rješavanje sporova</w:t>
            </w:r>
          </w:p>
        </w:tc>
        <w:tc>
          <w:tcPr>
            <w:tcW w:w="1416" w:type="dxa"/>
            <w:vAlign w:val="center"/>
          </w:tcPr>
          <w:p w:rsidR="005A1B74" w:rsidRPr="00281D1F" w:rsidRDefault="005A1B74" w:rsidP="002D1E7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bCs/>
                <w:lang w:val="sr-Cyrl-BA"/>
              </w:rPr>
            </w:pPr>
            <w:r w:rsidRPr="00281D1F">
              <w:rPr>
                <w:rFonts w:asciiTheme="minorHAnsi" w:hAnsiTheme="minorHAnsi"/>
                <w:b/>
                <w:bCs/>
                <w:sz w:val="22"/>
                <w:szCs w:val="22"/>
                <w:lang w:val="sr-Cyrl-BA"/>
              </w:rPr>
              <w:t>Ukupan broj održanih rasprava</w:t>
            </w:r>
          </w:p>
        </w:tc>
      </w:tr>
      <w:tr w:rsidR="005A1B74" w:rsidRPr="00281D1F" w:rsidTr="002D1E7C">
        <w:trPr>
          <w:trHeight w:val="578"/>
        </w:trPr>
        <w:tc>
          <w:tcPr>
            <w:cnfStyle w:val="000010000000" w:firstRow="0" w:lastRow="0" w:firstColumn="0" w:lastColumn="0" w:oddVBand="1" w:evenVBand="0" w:oddHBand="0" w:evenHBand="0" w:firstRowFirstColumn="0" w:firstRowLastColumn="0" w:lastRowFirstColumn="0" w:lastRowLastColumn="0"/>
            <w:tcW w:w="1963" w:type="dxa"/>
          </w:tcPr>
          <w:p w:rsidR="005A1B74" w:rsidRPr="00281D1F" w:rsidRDefault="005A1B74" w:rsidP="002D1E7C">
            <w:pPr>
              <w:rPr>
                <w:rFonts w:asciiTheme="minorHAnsi" w:hAnsiTheme="minorHAnsi"/>
                <w:i/>
                <w:lang w:val="sr-Cyrl-BA"/>
              </w:rPr>
            </w:pPr>
            <w:r w:rsidRPr="00281D1F">
              <w:rPr>
                <w:rFonts w:asciiTheme="minorHAnsi" w:hAnsiTheme="minorHAnsi"/>
                <w:i/>
                <w:sz w:val="22"/>
                <w:szCs w:val="22"/>
                <w:lang w:val="sr-Cyrl-BA"/>
              </w:rPr>
              <w:t>Opšte javne rasprave</w:t>
            </w:r>
          </w:p>
        </w:tc>
        <w:tc>
          <w:tcPr>
            <w:tcW w:w="1191" w:type="dxa"/>
            <w:vAlign w:val="center"/>
          </w:tcPr>
          <w:p w:rsidR="005A1B74" w:rsidRPr="00281D1F" w:rsidRDefault="005A1B74" w:rsidP="002D1E7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highlight w:val="yellow"/>
                <w:lang w:val="sr-Cyrl-BA"/>
              </w:rPr>
            </w:pPr>
            <w:r>
              <w:rPr>
                <w:rFonts w:asciiTheme="minorHAnsi" w:hAnsiTheme="minorHAnsi"/>
                <w:sz w:val="22"/>
                <w:szCs w:val="22"/>
                <w:lang w:val="sr-Cyrl-BA"/>
              </w:rPr>
              <w:t>3</w:t>
            </w:r>
          </w:p>
        </w:tc>
        <w:tc>
          <w:tcPr>
            <w:cnfStyle w:val="000010000000" w:firstRow="0" w:lastRow="0" w:firstColumn="0" w:lastColumn="0" w:oddVBand="1" w:evenVBand="0" w:oddHBand="0" w:evenHBand="0" w:firstRowFirstColumn="0" w:firstRowLastColumn="0" w:lastRowFirstColumn="0" w:lastRowLastColumn="0"/>
            <w:tcW w:w="1362" w:type="dxa"/>
            <w:vAlign w:val="center"/>
          </w:tcPr>
          <w:p w:rsidR="005A1B74" w:rsidRPr="00281D1F" w:rsidRDefault="005A1B74" w:rsidP="002D1E7C">
            <w:pPr>
              <w:jc w:val="center"/>
              <w:rPr>
                <w:rFonts w:asciiTheme="minorHAnsi" w:hAnsiTheme="minorHAnsi"/>
                <w:highlight w:val="yellow"/>
                <w:lang w:val="sr-Cyrl-BA"/>
              </w:rPr>
            </w:pPr>
            <w:r w:rsidRPr="00281D1F">
              <w:rPr>
                <w:rFonts w:asciiTheme="minorHAnsi" w:hAnsiTheme="minorHAnsi"/>
                <w:sz w:val="22"/>
                <w:szCs w:val="22"/>
                <w:lang w:val="sr-Cyrl-BA"/>
              </w:rPr>
              <w:t>1</w:t>
            </w:r>
            <w:r>
              <w:rPr>
                <w:rFonts w:asciiTheme="minorHAnsi" w:hAnsiTheme="minorHAnsi"/>
                <w:sz w:val="22"/>
                <w:szCs w:val="22"/>
                <w:lang w:val="sr-Cyrl-BA"/>
              </w:rPr>
              <w:t>9</w:t>
            </w:r>
          </w:p>
        </w:tc>
        <w:tc>
          <w:tcPr>
            <w:tcW w:w="1228" w:type="dxa"/>
            <w:vAlign w:val="center"/>
          </w:tcPr>
          <w:p w:rsidR="005A1B74" w:rsidRPr="00281D1F" w:rsidRDefault="005A1B74" w:rsidP="002D1E7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highlight w:val="yellow"/>
                <w:lang w:val="sr-Cyrl-BA"/>
              </w:rPr>
            </w:pPr>
            <w:r w:rsidRPr="00281D1F">
              <w:rPr>
                <w:rFonts w:asciiTheme="minorHAnsi" w:hAnsiTheme="minorHAnsi"/>
                <w:sz w:val="22"/>
                <w:szCs w:val="22"/>
                <w:lang w:val="sr-Cyrl-BA"/>
              </w:rPr>
              <w:t>2</w:t>
            </w:r>
          </w:p>
        </w:tc>
        <w:tc>
          <w:tcPr>
            <w:cnfStyle w:val="000010000000" w:firstRow="0" w:lastRow="0" w:firstColumn="0" w:lastColumn="0" w:oddVBand="1" w:evenVBand="0" w:oddHBand="0" w:evenHBand="0" w:firstRowFirstColumn="0" w:firstRowLastColumn="0" w:lastRowFirstColumn="0" w:lastRowLastColumn="0"/>
            <w:tcW w:w="1844" w:type="dxa"/>
            <w:vAlign w:val="center"/>
          </w:tcPr>
          <w:p w:rsidR="005A1B74" w:rsidRPr="00281D1F" w:rsidRDefault="005A1B74" w:rsidP="002D1E7C">
            <w:pPr>
              <w:jc w:val="center"/>
              <w:rPr>
                <w:rFonts w:asciiTheme="minorHAnsi" w:hAnsiTheme="minorHAnsi"/>
                <w:highlight w:val="yellow"/>
                <w:lang w:val="sr-Cyrl-BA"/>
              </w:rPr>
            </w:pPr>
            <w:r w:rsidRPr="00281D1F">
              <w:rPr>
                <w:rFonts w:asciiTheme="minorHAnsi" w:hAnsiTheme="minorHAnsi"/>
                <w:sz w:val="22"/>
                <w:szCs w:val="22"/>
                <w:lang w:val="sr-Cyrl-BA"/>
              </w:rPr>
              <w:t>-</w:t>
            </w:r>
          </w:p>
        </w:tc>
        <w:tc>
          <w:tcPr>
            <w:tcW w:w="1416" w:type="dxa"/>
            <w:vAlign w:val="center"/>
          </w:tcPr>
          <w:p w:rsidR="005A1B74" w:rsidRPr="00281D1F" w:rsidRDefault="005A1B74" w:rsidP="002D1E7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highlight w:val="yellow"/>
                <w:lang w:val="sr-Cyrl-BA"/>
              </w:rPr>
            </w:pPr>
            <w:r w:rsidRPr="00281D1F">
              <w:rPr>
                <w:rFonts w:asciiTheme="minorHAnsi" w:hAnsiTheme="minorHAnsi"/>
                <w:sz w:val="22"/>
                <w:szCs w:val="22"/>
                <w:lang w:val="sr-Cyrl-BA"/>
              </w:rPr>
              <w:t>24</w:t>
            </w:r>
          </w:p>
        </w:tc>
      </w:tr>
      <w:tr w:rsidR="005A1B74" w:rsidRPr="00281D1F" w:rsidTr="002D1E7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963" w:type="dxa"/>
          </w:tcPr>
          <w:p w:rsidR="005A1B74" w:rsidRPr="00281D1F" w:rsidRDefault="005A1B74" w:rsidP="002D1E7C">
            <w:pPr>
              <w:rPr>
                <w:rFonts w:asciiTheme="minorHAnsi" w:hAnsiTheme="minorHAnsi"/>
                <w:i/>
                <w:lang w:val="sr-Cyrl-BA"/>
              </w:rPr>
            </w:pPr>
            <w:r w:rsidRPr="00281D1F">
              <w:rPr>
                <w:rFonts w:asciiTheme="minorHAnsi" w:hAnsiTheme="minorHAnsi"/>
                <w:i/>
                <w:sz w:val="22"/>
                <w:szCs w:val="22"/>
                <w:lang w:val="sr-Cyrl-BA"/>
              </w:rPr>
              <w:t>Tehničke rasprave</w:t>
            </w:r>
          </w:p>
        </w:tc>
        <w:tc>
          <w:tcPr>
            <w:tcW w:w="1191" w:type="dxa"/>
            <w:vAlign w:val="center"/>
          </w:tcPr>
          <w:p w:rsidR="005A1B74" w:rsidRPr="00281D1F" w:rsidRDefault="005A1B74" w:rsidP="002D1E7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highlight w:val="yellow"/>
                <w:lang w:val="sr-Cyrl-BA"/>
              </w:rPr>
            </w:pPr>
            <w:r w:rsidRPr="00281D1F">
              <w:rPr>
                <w:rFonts w:asciiTheme="minorHAnsi" w:hAnsiTheme="minorHAnsi"/>
                <w:sz w:val="22"/>
                <w:szCs w:val="22"/>
                <w:lang w:val="sr-Cyrl-BA"/>
              </w:rPr>
              <w:softHyphen/>
              <w:t>-</w:t>
            </w:r>
          </w:p>
        </w:tc>
        <w:tc>
          <w:tcPr>
            <w:cnfStyle w:val="000010000000" w:firstRow="0" w:lastRow="0" w:firstColumn="0" w:lastColumn="0" w:oddVBand="1" w:evenVBand="0" w:oddHBand="0" w:evenHBand="0" w:firstRowFirstColumn="0" w:firstRowLastColumn="0" w:lastRowFirstColumn="0" w:lastRowLastColumn="0"/>
            <w:tcW w:w="1362" w:type="dxa"/>
            <w:vAlign w:val="center"/>
          </w:tcPr>
          <w:p w:rsidR="005A1B74" w:rsidRPr="00281D1F" w:rsidRDefault="005A1B74" w:rsidP="002D1E7C">
            <w:pPr>
              <w:jc w:val="center"/>
              <w:rPr>
                <w:rFonts w:asciiTheme="minorHAnsi" w:hAnsiTheme="minorHAnsi"/>
                <w:highlight w:val="yellow"/>
                <w:lang w:val="sr-Cyrl-BA"/>
              </w:rPr>
            </w:pPr>
            <w:r w:rsidRPr="00281D1F">
              <w:rPr>
                <w:rFonts w:asciiTheme="minorHAnsi" w:hAnsiTheme="minorHAnsi"/>
                <w:sz w:val="22"/>
                <w:szCs w:val="22"/>
                <w:lang w:val="sr-Cyrl-BA"/>
              </w:rPr>
              <w:t>-</w:t>
            </w:r>
          </w:p>
        </w:tc>
        <w:tc>
          <w:tcPr>
            <w:tcW w:w="1228" w:type="dxa"/>
            <w:vAlign w:val="center"/>
          </w:tcPr>
          <w:p w:rsidR="005A1B74" w:rsidRPr="00281D1F" w:rsidRDefault="005A1B74" w:rsidP="002D1E7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highlight w:val="yellow"/>
                <w:lang w:val="sr-Cyrl-BA"/>
              </w:rPr>
            </w:pPr>
            <w:r w:rsidRPr="00281D1F">
              <w:rPr>
                <w:rFonts w:asciiTheme="minorHAnsi" w:hAnsiTheme="minorHAnsi"/>
                <w:lang w:val="sr-Cyrl-BA"/>
              </w:rPr>
              <w:t>-</w:t>
            </w:r>
          </w:p>
        </w:tc>
        <w:tc>
          <w:tcPr>
            <w:cnfStyle w:val="000010000000" w:firstRow="0" w:lastRow="0" w:firstColumn="0" w:lastColumn="0" w:oddVBand="1" w:evenVBand="0" w:oddHBand="0" w:evenHBand="0" w:firstRowFirstColumn="0" w:firstRowLastColumn="0" w:lastRowFirstColumn="0" w:lastRowLastColumn="0"/>
            <w:tcW w:w="1844" w:type="dxa"/>
            <w:vAlign w:val="center"/>
          </w:tcPr>
          <w:p w:rsidR="005A1B74" w:rsidRPr="00281D1F" w:rsidRDefault="005A1B74" w:rsidP="002D1E7C">
            <w:pPr>
              <w:jc w:val="center"/>
              <w:rPr>
                <w:rFonts w:asciiTheme="minorHAnsi" w:hAnsiTheme="minorHAnsi"/>
                <w:highlight w:val="yellow"/>
                <w:lang w:val="sr-Cyrl-BA"/>
              </w:rPr>
            </w:pPr>
            <w:r w:rsidRPr="00281D1F">
              <w:rPr>
                <w:rFonts w:asciiTheme="minorHAnsi" w:hAnsiTheme="minorHAnsi"/>
                <w:sz w:val="22"/>
                <w:szCs w:val="22"/>
                <w:lang w:val="sr-Cyrl-BA"/>
              </w:rPr>
              <w:t>-</w:t>
            </w:r>
          </w:p>
        </w:tc>
        <w:tc>
          <w:tcPr>
            <w:tcW w:w="1416" w:type="dxa"/>
            <w:vAlign w:val="center"/>
          </w:tcPr>
          <w:p w:rsidR="005A1B74" w:rsidRPr="00281D1F" w:rsidRDefault="005A1B74" w:rsidP="002D1E7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highlight w:val="yellow"/>
                <w:lang w:val="sr-Cyrl-BA"/>
              </w:rPr>
            </w:pPr>
            <w:r w:rsidRPr="00281D1F">
              <w:rPr>
                <w:rFonts w:asciiTheme="minorHAnsi" w:hAnsiTheme="minorHAnsi"/>
                <w:sz w:val="22"/>
                <w:szCs w:val="22"/>
                <w:lang w:val="sr-Cyrl-BA"/>
              </w:rPr>
              <w:t>-</w:t>
            </w:r>
          </w:p>
        </w:tc>
      </w:tr>
      <w:tr w:rsidR="005A1B74" w:rsidRPr="00281D1F" w:rsidTr="002D1E7C">
        <w:tc>
          <w:tcPr>
            <w:cnfStyle w:val="000010000000" w:firstRow="0" w:lastRow="0" w:firstColumn="0" w:lastColumn="0" w:oddVBand="1" w:evenVBand="0" w:oddHBand="0" w:evenHBand="0" w:firstRowFirstColumn="0" w:firstRowLastColumn="0" w:lastRowFirstColumn="0" w:lastRowLastColumn="0"/>
            <w:tcW w:w="1963" w:type="dxa"/>
          </w:tcPr>
          <w:p w:rsidR="005A1B74" w:rsidRPr="00281D1F" w:rsidRDefault="005A1B74" w:rsidP="002D1E7C">
            <w:pPr>
              <w:rPr>
                <w:rFonts w:asciiTheme="minorHAnsi" w:hAnsiTheme="minorHAnsi"/>
                <w:i/>
                <w:lang w:val="sr-Cyrl-BA"/>
              </w:rPr>
            </w:pPr>
            <w:r w:rsidRPr="00281D1F">
              <w:rPr>
                <w:rFonts w:asciiTheme="minorHAnsi" w:hAnsiTheme="minorHAnsi"/>
                <w:i/>
                <w:sz w:val="22"/>
                <w:szCs w:val="22"/>
                <w:lang w:val="sr-Cyrl-BA"/>
              </w:rPr>
              <w:t>Formalne rasprave</w:t>
            </w:r>
          </w:p>
        </w:tc>
        <w:tc>
          <w:tcPr>
            <w:tcW w:w="1191" w:type="dxa"/>
            <w:vAlign w:val="center"/>
          </w:tcPr>
          <w:p w:rsidR="005A1B74" w:rsidRPr="00281D1F" w:rsidRDefault="005A1B74" w:rsidP="002D1E7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highlight w:val="yellow"/>
                <w:lang w:val="sr-Cyrl-BA"/>
              </w:rPr>
            </w:pPr>
            <w:r w:rsidRPr="00281D1F">
              <w:rPr>
                <w:rFonts w:asciiTheme="minorHAnsi" w:hAnsiTheme="minorHAnsi"/>
                <w:sz w:val="22"/>
                <w:szCs w:val="22"/>
                <w:lang w:val="sr-Cyrl-BA"/>
              </w:rPr>
              <w:t>-</w:t>
            </w:r>
          </w:p>
        </w:tc>
        <w:tc>
          <w:tcPr>
            <w:cnfStyle w:val="000010000000" w:firstRow="0" w:lastRow="0" w:firstColumn="0" w:lastColumn="0" w:oddVBand="1" w:evenVBand="0" w:oddHBand="0" w:evenHBand="0" w:firstRowFirstColumn="0" w:firstRowLastColumn="0" w:lastRowFirstColumn="0" w:lastRowLastColumn="0"/>
            <w:tcW w:w="1362" w:type="dxa"/>
            <w:vAlign w:val="center"/>
          </w:tcPr>
          <w:p w:rsidR="005A1B74" w:rsidRPr="00281D1F" w:rsidRDefault="005A1B74" w:rsidP="002D1E7C">
            <w:pPr>
              <w:jc w:val="center"/>
              <w:rPr>
                <w:rFonts w:asciiTheme="minorHAnsi" w:hAnsiTheme="minorHAnsi"/>
                <w:highlight w:val="yellow"/>
                <w:lang w:val="sr-Cyrl-BA"/>
              </w:rPr>
            </w:pPr>
            <w:r w:rsidRPr="00281D1F">
              <w:rPr>
                <w:rFonts w:asciiTheme="minorHAnsi" w:hAnsiTheme="minorHAnsi"/>
                <w:lang w:val="sr-Cyrl-BA"/>
              </w:rPr>
              <w:t>-</w:t>
            </w:r>
          </w:p>
        </w:tc>
        <w:tc>
          <w:tcPr>
            <w:tcW w:w="1228" w:type="dxa"/>
            <w:vAlign w:val="center"/>
          </w:tcPr>
          <w:p w:rsidR="005A1B74" w:rsidRPr="00281D1F" w:rsidRDefault="005A1B74" w:rsidP="002D1E7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highlight w:val="yellow"/>
                <w:lang w:val="sr-Cyrl-BA"/>
              </w:rPr>
            </w:pPr>
            <w:r>
              <w:rPr>
                <w:rFonts w:asciiTheme="minorHAnsi" w:hAnsiTheme="minorHAnsi"/>
                <w:sz w:val="22"/>
                <w:szCs w:val="22"/>
                <w:lang w:val="sr-Cyrl-BA"/>
              </w:rPr>
              <w:t>3</w:t>
            </w:r>
          </w:p>
        </w:tc>
        <w:tc>
          <w:tcPr>
            <w:cnfStyle w:val="000010000000" w:firstRow="0" w:lastRow="0" w:firstColumn="0" w:lastColumn="0" w:oddVBand="1" w:evenVBand="0" w:oddHBand="0" w:evenHBand="0" w:firstRowFirstColumn="0" w:firstRowLastColumn="0" w:lastRowFirstColumn="0" w:lastRowLastColumn="0"/>
            <w:tcW w:w="1844" w:type="dxa"/>
            <w:vAlign w:val="center"/>
          </w:tcPr>
          <w:p w:rsidR="005A1B74" w:rsidRPr="00281D1F" w:rsidRDefault="005A1B74" w:rsidP="002D1E7C">
            <w:pPr>
              <w:jc w:val="center"/>
              <w:rPr>
                <w:rFonts w:asciiTheme="minorHAnsi" w:hAnsiTheme="minorHAnsi"/>
                <w:highlight w:val="yellow"/>
                <w:lang w:val="sr-Cyrl-BA"/>
              </w:rPr>
            </w:pPr>
            <w:r>
              <w:rPr>
                <w:rFonts w:asciiTheme="minorHAnsi" w:hAnsiTheme="minorHAnsi"/>
                <w:sz w:val="22"/>
                <w:szCs w:val="22"/>
                <w:lang w:val="sr-Cyrl-BA"/>
              </w:rPr>
              <w:t>16</w:t>
            </w:r>
          </w:p>
        </w:tc>
        <w:tc>
          <w:tcPr>
            <w:tcW w:w="1416" w:type="dxa"/>
            <w:vAlign w:val="center"/>
          </w:tcPr>
          <w:p w:rsidR="005A1B74" w:rsidRPr="00281D1F" w:rsidRDefault="005A1B74" w:rsidP="002D1E7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highlight w:val="yellow"/>
                <w:lang w:val="sr-Cyrl-BA"/>
              </w:rPr>
            </w:pPr>
            <w:r>
              <w:rPr>
                <w:rFonts w:asciiTheme="minorHAnsi" w:hAnsiTheme="minorHAnsi"/>
                <w:sz w:val="22"/>
                <w:szCs w:val="22"/>
                <w:lang w:val="sr-Cyrl-BA"/>
              </w:rPr>
              <w:t>19</w:t>
            </w:r>
          </w:p>
        </w:tc>
      </w:tr>
      <w:tr w:rsidR="005A1B74" w:rsidRPr="00281D1F" w:rsidTr="002D1E7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963" w:type="dxa"/>
          </w:tcPr>
          <w:p w:rsidR="005A1B74" w:rsidRPr="00281D1F" w:rsidRDefault="005A1B74" w:rsidP="002D1E7C">
            <w:pPr>
              <w:rPr>
                <w:rFonts w:asciiTheme="minorHAnsi" w:hAnsiTheme="minorHAnsi"/>
                <w:b/>
                <w:bCs/>
                <w:lang w:val="sr-Cyrl-BA"/>
              </w:rPr>
            </w:pPr>
            <w:r w:rsidRPr="00281D1F">
              <w:rPr>
                <w:rFonts w:asciiTheme="minorHAnsi" w:hAnsiTheme="minorHAnsi"/>
                <w:b/>
                <w:bCs/>
                <w:sz w:val="22"/>
                <w:szCs w:val="22"/>
                <w:lang w:val="sr-Cyrl-BA"/>
              </w:rPr>
              <w:t>UKUPNO</w:t>
            </w:r>
          </w:p>
        </w:tc>
        <w:tc>
          <w:tcPr>
            <w:tcW w:w="1191" w:type="dxa"/>
            <w:vAlign w:val="center"/>
          </w:tcPr>
          <w:p w:rsidR="005A1B74" w:rsidRPr="00281D1F" w:rsidRDefault="005A1B74" w:rsidP="002D1E7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highlight w:val="yellow"/>
                <w:lang w:val="sr-Cyrl-BA"/>
              </w:rPr>
            </w:pPr>
            <w:r>
              <w:rPr>
                <w:rFonts w:asciiTheme="minorHAnsi" w:hAnsiTheme="minorHAnsi"/>
                <w:sz w:val="22"/>
                <w:szCs w:val="22"/>
                <w:lang w:val="sr-Cyrl-BA"/>
              </w:rPr>
              <w:t>3</w:t>
            </w:r>
          </w:p>
        </w:tc>
        <w:tc>
          <w:tcPr>
            <w:cnfStyle w:val="000010000000" w:firstRow="0" w:lastRow="0" w:firstColumn="0" w:lastColumn="0" w:oddVBand="1" w:evenVBand="0" w:oddHBand="0" w:evenHBand="0" w:firstRowFirstColumn="0" w:firstRowLastColumn="0" w:lastRowFirstColumn="0" w:lastRowLastColumn="0"/>
            <w:tcW w:w="1362" w:type="dxa"/>
            <w:vAlign w:val="center"/>
          </w:tcPr>
          <w:p w:rsidR="005A1B74" w:rsidRPr="00281D1F" w:rsidRDefault="005A1B74" w:rsidP="002D1E7C">
            <w:pPr>
              <w:jc w:val="center"/>
              <w:rPr>
                <w:rFonts w:asciiTheme="minorHAnsi" w:hAnsiTheme="minorHAnsi"/>
                <w:highlight w:val="yellow"/>
                <w:lang w:val="sr-Cyrl-BA"/>
              </w:rPr>
            </w:pPr>
            <w:r w:rsidRPr="00281D1F">
              <w:rPr>
                <w:rFonts w:asciiTheme="minorHAnsi" w:hAnsiTheme="minorHAnsi"/>
                <w:sz w:val="22"/>
                <w:szCs w:val="22"/>
                <w:lang w:val="sr-Cyrl-BA"/>
              </w:rPr>
              <w:t>1</w:t>
            </w:r>
            <w:r>
              <w:rPr>
                <w:rFonts w:asciiTheme="minorHAnsi" w:hAnsiTheme="minorHAnsi"/>
                <w:sz w:val="22"/>
                <w:szCs w:val="22"/>
                <w:lang w:val="sr-Cyrl-BA"/>
              </w:rPr>
              <w:t>9</w:t>
            </w:r>
          </w:p>
        </w:tc>
        <w:tc>
          <w:tcPr>
            <w:tcW w:w="1228" w:type="dxa"/>
            <w:vAlign w:val="center"/>
          </w:tcPr>
          <w:p w:rsidR="005A1B74" w:rsidRPr="00281D1F" w:rsidRDefault="005A1B74" w:rsidP="002D1E7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highlight w:val="yellow"/>
                <w:lang w:val="sr-Cyrl-BA"/>
              </w:rPr>
            </w:pPr>
            <w:r>
              <w:rPr>
                <w:rFonts w:asciiTheme="minorHAnsi" w:hAnsiTheme="minorHAnsi"/>
                <w:sz w:val="22"/>
                <w:szCs w:val="22"/>
                <w:lang w:val="sr-Cyrl-BA"/>
              </w:rPr>
              <w:t>5</w:t>
            </w:r>
          </w:p>
        </w:tc>
        <w:tc>
          <w:tcPr>
            <w:cnfStyle w:val="000010000000" w:firstRow="0" w:lastRow="0" w:firstColumn="0" w:lastColumn="0" w:oddVBand="1" w:evenVBand="0" w:oddHBand="0" w:evenHBand="0" w:firstRowFirstColumn="0" w:firstRowLastColumn="0" w:lastRowFirstColumn="0" w:lastRowLastColumn="0"/>
            <w:tcW w:w="1844" w:type="dxa"/>
            <w:vAlign w:val="center"/>
          </w:tcPr>
          <w:p w:rsidR="005A1B74" w:rsidRPr="00281D1F" w:rsidRDefault="005A1B74" w:rsidP="002D1E7C">
            <w:pPr>
              <w:jc w:val="center"/>
              <w:rPr>
                <w:rFonts w:asciiTheme="minorHAnsi" w:hAnsiTheme="minorHAnsi"/>
                <w:sz w:val="22"/>
                <w:szCs w:val="22"/>
                <w:highlight w:val="yellow"/>
                <w:lang w:val="sr-Cyrl-BA"/>
              </w:rPr>
            </w:pPr>
            <w:r>
              <w:rPr>
                <w:rFonts w:asciiTheme="minorHAnsi" w:hAnsiTheme="minorHAnsi"/>
                <w:sz w:val="22"/>
                <w:szCs w:val="22"/>
                <w:lang w:val="sr-Cyrl-BA"/>
              </w:rPr>
              <w:t>16</w:t>
            </w:r>
          </w:p>
        </w:tc>
        <w:tc>
          <w:tcPr>
            <w:tcW w:w="1416" w:type="dxa"/>
            <w:vAlign w:val="center"/>
          </w:tcPr>
          <w:p w:rsidR="005A1B74" w:rsidRPr="00281D1F" w:rsidRDefault="005A1B74" w:rsidP="002D1E7C">
            <w:pPr>
              <w:keepNex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b/>
                <w:bCs/>
                <w:highlight w:val="yellow"/>
                <w:lang w:val="sr-Cyrl-BA"/>
              </w:rPr>
            </w:pPr>
            <w:r>
              <w:rPr>
                <w:rFonts w:asciiTheme="minorHAnsi" w:hAnsiTheme="minorHAnsi"/>
                <w:b/>
                <w:bCs/>
                <w:sz w:val="22"/>
                <w:szCs w:val="22"/>
                <w:lang w:val="sr-Cyrl-BA"/>
              </w:rPr>
              <w:t>43</w:t>
            </w:r>
          </w:p>
        </w:tc>
      </w:tr>
    </w:tbl>
    <w:p w:rsidR="005A1B74" w:rsidRPr="00281D1F" w:rsidRDefault="005A1B74" w:rsidP="002D1E7C">
      <w:pPr>
        <w:pStyle w:val="Heading2"/>
        <w:numPr>
          <w:ilvl w:val="1"/>
          <w:numId w:val="3"/>
        </w:numPr>
        <w:tabs>
          <w:tab w:val="clear" w:pos="1080"/>
          <w:tab w:val="num" w:pos="0"/>
        </w:tabs>
        <w:ind w:left="0" w:firstLine="0"/>
        <w:rPr>
          <w:rFonts w:asciiTheme="minorHAnsi" w:hAnsiTheme="minorHAnsi"/>
          <w:i w:val="0"/>
          <w:sz w:val="26"/>
          <w:szCs w:val="26"/>
          <w:lang w:val="sr-Cyrl-BA"/>
        </w:rPr>
      </w:pPr>
      <w:bookmarkStart w:id="44" w:name="_Toc293411076"/>
      <w:bookmarkStart w:id="45" w:name="_Toc293414764"/>
      <w:bookmarkStart w:id="46" w:name="_Toc293563714"/>
      <w:bookmarkStart w:id="47" w:name="_Toc358640032"/>
      <w:bookmarkStart w:id="48" w:name="_Toc358640250"/>
      <w:bookmarkStart w:id="49" w:name="_Toc358640468"/>
      <w:bookmarkStart w:id="50" w:name="_Toc358640892"/>
      <w:bookmarkStart w:id="51" w:name="_Toc210301149"/>
      <w:r w:rsidRPr="00281D1F">
        <w:rPr>
          <w:rFonts w:asciiTheme="minorHAnsi" w:hAnsiTheme="minorHAnsi"/>
          <w:i w:val="0"/>
          <w:sz w:val="26"/>
          <w:szCs w:val="26"/>
          <w:lang w:val="sr-Cyrl-BA"/>
        </w:rPr>
        <w:t>Regulisanje sektora električne energije</w:t>
      </w:r>
      <w:bookmarkStart w:id="52" w:name="_Toc293411077"/>
      <w:bookmarkStart w:id="53" w:name="_Toc293414765"/>
      <w:bookmarkStart w:id="54" w:name="_Toc293563715"/>
      <w:bookmarkStart w:id="55" w:name="_Toc230940883"/>
      <w:bookmarkEnd w:id="44"/>
      <w:bookmarkEnd w:id="45"/>
      <w:bookmarkEnd w:id="46"/>
      <w:bookmarkEnd w:id="47"/>
      <w:bookmarkEnd w:id="48"/>
      <w:bookmarkEnd w:id="49"/>
      <w:bookmarkEnd w:id="50"/>
      <w:bookmarkEnd w:id="51"/>
    </w:p>
    <w:p w:rsidR="005A1B74" w:rsidRPr="00281D1F" w:rsidRDefault="005A1B74" w:rsidP="002D1E7C">
      <w:pPr>
        <w:pStyle w:val="Heading3"/>
        <w:numPr>
          <w:ilvl w:val="2"/>
          <w:numId w:val="3"/>
        </w:numPr>
        <w:tabs>
          <w:tab w:val="clear" w:pos="1440"/>
          <w:tab w:val="num" w:pos="360"/>
        </w:tabs>
        <w:spacing w:after="240"/>
        <w:ind w:left="0" w:firstLine="0"/>
        <w:rPr>
          <w:rFonts w:asciiTheme="minorHAnsi" w:hAnsiTheme="minorHAnsi"/>
          <w:sz w:val="24"/>
          <w:lang w:val="sr-Cyrl-BA"/>
        </w:rPr>
      </w:pPr>
      <w:bookmarkStart w:id="56" w:name="_Toc358640033"/>
      <w:bookmarkStart w:id="57" w:name="_Toc358640251"/>
      <w:bookmarkStart w:id="58" w:name="_Toc358640469"/>
      <w:bookmarkStart w:id="59" w:name="_Toc358640893"/>
      <w:bookmarkStart w:id="60" w:name="_Toc210301150"/>
      <w:r w:rsidRPr="00281D1F">
        <w:rPr>
          <w:rFonts w:asciiTheme="minorHAnsi" w:hAnsiTheme="minorHAnsi"/>
          <w:sz w:val="24"/>
          <w:lang w:val="sr-Cyrl-BA"/>
        </w:rPr>
        <w:t>Donošenje i odobravanje pravila i propis</w:t>
      </w:r>
      <w:bookmarkEnd w:id="52"/>
      <w:bookmarkEnd w:id="53"/>
      <w:bookmarkEnd w:id="54"/>
      <w:r w:rsidRPr="00281D1F">
        <w:rPr>
          <w:rFonts w:asciiTheme="minorHAnsi" w:hAnsiTheme="minorHAnsi"/>
          <w:sz w:val="24"/>
          <w:lang w:val="sr-Cyrl-BA"/>
        </w:rPr>
        <w:t>a</w:t>
      </w:r>
      <w:bookmarkEnd w:id="56"/>
      <w:bookmarkEnd w:id="57"/>
      <w:bookmarkEnd w:id="58"/>
      <w:bookmarkEnd w:id="59"/>
      <w:bookmarkEnd w:id="60"/>
    </w:p>
    <w:p w:rsidR="005A1B74" w:rsidRDefault="005A1B74" w:rsidP="002D1E7C">
      <w:pPr>
        <w:jc w:val="both"/>
        <w:rPr>
          <w:rFonts w:asciiTheme="minorHAnsi" w:hAnsiTheme="minorHAnsi" w:cs="Calibri"/>
          <w:sz w:val="22"/>
          <w:szCs w:val="22"/>
          <w:lang w:val="sr-Cyrl-BA"/>
        </w:rPr>
      </w:pPr>
      <w:bookmarkStart w:id="61" w:name="_Toc293411078"/>
      <w:bookmarkStart w:id="62" w:name="_Toc293414766"/>
      <w:bookmarkStart w:id="63" w:name="_Toc293563716"/>
      <w:bookmarkEnd w:id="55"/>
      <w:r w:rsidRPr="00281D1F">
        <w:rPr>
          <w:rFonts w:asciiTheme="minorHAnsi" w:hAnsiTheme="minorHAnsi" w:cs="Calibri"/>
          <w:sz w:val="22"/>
          <w:szCs w:val="22"/>
          <w:lang w:val="sr-Cyrl-BA"/>
        </w:rPr>
        <w:t>Regulatorna komisija je tokom 202</w:t>
      </w:r>
      <w:r>
        <w:rPr>
          <w:rFonts w:asciiTheme="minorHAnsi" w:hAnsiTheme="minorHAnsi" w:cs="Calibri"/>
          <w:sz w:val="22"/>
          <w:szCs w:val="22"/>
          <w:lang w:val="sr-Cyrl-BA"/>
        </w:rPr>
        <w:t>4</w:t>
      </w:r>
      <w:r w:rsidRPr="00281D1F">
        <w:rPr>
          <w:rFonts w:asciiTheme="minorHAnsi" w:hAnsiTheme="minorHAnsi" w:cs="Calibri"/>
          <w:sz w:val="22"/>
          <w:szCs w:val="22"/>
          <w:lang w:val="sr-Cyrl-BA"/>
        </w:rPr>
        <w:t>. godine donijela, te dala odobrenja ili saglasnosti na podzakonske akte kako slijedi:</w:t>
      </w:r>
    </w:p>
    <w:p w:rsidR="00621793" w:rsidRDefault="00621793" w:rsidP="002D1E7C">
      <w:pPr>
        <w:jc w:val="both"/>
        <w:rPr>
          <w:rFonts w:asciiTheme="minorHAnsi" w:hAnsiTheme="minorHAnsi" w:cs="Calibri"/>
          <w:sz w:val="22"/>
          <w:szCs w:val="22"/>
          <w:lang w:val="sr-Cyrl-BA"/>
        </w:rPr>
      </w:pPr>
    </w:p>
    <w:p w:rsidR="00621793" w:rsidRDefault="00621793" w:rsidP="002D1E7C">
      <w:pPr>
        <w:jc w:val="both"/>
        <w:rPr>
          <w:rFonts w:asciiTheme="minorHAnsi" w:hAnsiTheme="minorHAnsi" w:cs="Calibri"/>
          <w:sz w:val="22"/>
          <w:szCs w:val="22"/>
          <w:lang w:val="sr-Cyrl-BA"/>
        </w:rPr>
      </w:pPr>
    </w:p>
    <w:p w:rsidR="00621793" w:rsidRDefault="00621793" w:rsidP="002D1E7C">
      <w:pPr>
        <w:jc w:val="both"/>
        <w:rPr>
          <w:rFonts w:asciiTheme="minorHAnsi" w:hAnsiTheme="minorHAnsi" w:cs="Calibri"/>
          <w:sz w:val="22"/>
          <w:szCs w:val="22"/>
          <w:lang w:val="sr-Cyrl-BA"/>
        </w:rPr>
      </w:pPr>
    </w:p>
    <w:p w:rsidR="00621793" w:rsidRPr="00281D1F" w:rsidRDefault="00621793" w:rsidP="002D1E7C">
      <w:pPr>
        <w:jc w:val="both"/>
        <w:rPr>
          <w:rFonts w:asciiTheme="minorHAnsi" w:hAnsiTheme="minorHAnsi" w:cs="Calibri"/>
          <w:sz w:val="22"/>
          <w:szCs w:val="22"/>
          <w:lang w:val="sr-Cyrl-BA"/>
        </w:rPr>
      </w:pPr>
    </w:p>
    <w:p w:rsidR="005A1B74" w:rsidRPr="00281D1F" w:rsidRDefault="005A1B74" w:rsidP="002D1E7C">
      <w:pPr>
        <w:jc w:val="both"/>
        <w:rPr>
          <w:rFonts w:asciiTheme="minorHAnsi" w:hAnsiTheme="minorHAnsi" w:cs="Calibri"/>
          <w:sz w:val="22"/>
          <w:szCs w:val="22"/>
          <w:lang w:val="sr-Cyrl-BA"/>
        </w:rPr>
      </w:pPr>
    </w:p>
    <w:p w:rsidR="005A1B74" w:rsidRPr="004135A9" w:rsidRDefault="005A1B74" w:rsidP="002D1E7C">
      <w:pPr>
        <w:numPr>
          <w:ilvl w:val="0"/>
          <w:numId w:val="26"/>
        </w:numPr>
        <w:jc w:val="both"/>
        <w:rPr>
          <w:rFonts w:asciiTheme="minorHAnsi" w:hAnsiTheme="minorHAnsi" w:cs="Calibri"/>
          <w:b/>
          <w:bCs/>
          <w:i/>
          <w:sz w:val="22"/>
          <w:szCs w:val="22"/>
          <w:lang w:val="sr-Cyrl-BA"/>
        </w:rPr>
      </w:pPr>
      <w:r w:rsidRPr="00ED6AB0">
        <w:rPr>
          <w:rFonts w:asciiTheme="minorHAnsi" w:hAnsiTheme="minorHAnsi" w:cs="Calibri"/>
          <w:b/>
          <w:bCs/>
          <w:i/>
          <w:sz w:val="22"/>
          <w:szCs w:val="22"/>
          <w:lang w:val="sr-Cyrl-BA"/>
        </w:rPr>
        <w:lastRenderedPageBreak/>
        <w:t>Pravilnik o aukcijama</w:t>
      </w:r>
    </w:p>
    <w:p w:rsidR="005A1B74" w:rsidRDefault="005A1B74" w:rsidP="002D1E7C">
      <w:pPr>
        <w:jc w:val="both"/>
        <w:rPr>
          <w:rFonts w:asciiTheme="minorHAnsi" w:hAnsiTheme="minorHAnsi" w:cs="Calibri"/>
          <w:sz w:val="22"/>
          <w:szCs w:val="22"/>
          <w:lang w:val="sr-Cyrl-BA"/>
        </w:rPr>
      </w:pPr>
    </w:p>
    <w:p w:rsidR="005A1B74" w:rsidRPr="004135A9" w:rsidRDefault="005A1B74" w:rsidP="002D1E7C">
      <w:pPr>
        <w:spacing w:before="120" w:after="120"/>
        <w:jc w:val="both"/>
        <w:rPr>
          <w:rFonts w:asciiTheme="minorHAnsi" w:hAnsiTheme="minorHAnsi" w:cs="Calibri"/>
          <w:sz w:val="22"/>
          <w:szCs w:val="22"/>
          <w:lang w:val="sr-Cyrl-BA"/>
        </w:rPr>
      </w:pPr>
      <w:r>
        <w:rPr>
          <w:rFonts w:asciiTheme="minorHAnsi" w:hAnsiTheme="minorHAnsi" w:cs="Calibri"/>
          <w:sz w:val="22"/>
          <w:szCs w:val="22"/>
          <w:lang w:val="sr-Cyrl-BA"/>
        </w:rPr>
        <w:t xml:space="preserve">Pravilnik o aukcijama donesen je u cilju </w:t>
      </w:r>
      <w:r w:rsidRPr="004135A9">
        <w:rPr>
          <w:rFonts w:asciiTheme="minorHAnsi" w:hAnsiTheme="minorHAnsi" w:cs="Calibri"/>
          <w:sz w:val="22"/>
          <w:szCs w:val="22"/>
          <w:lang w:val="sr-Cyrl-BA"/>
        </w:rPr>
        <w:t>javno</w:t>
      </w:r>
      <w:r>
        <w:rPr>
          <w:rFonts w:asciiTheme="minorHAnsi" w:hAnsiTheme="minorHAnsi" w:cs="Calibri"/>
          <w:sz w:val="22"/>
          <w:szCs w:val="22"/>
          <w:lang w:val="sr-Cyrl-BA"/>
        </w:rPr>
        <w:t>g</w:t>
      </w:r>
      <w:r w:rsidRPr="004135A9">
        <w:rPr>
          <w:rFonts w:asciiTheme="minorHAnsi" w:hAnsiTheme="minorHAnsi" w:cs="Calibri"/>
          <w:sz w:val="22"/>
          <w:szCs w:val="22"/>
          <w:lang w:val="sr-Cyrl-BA"/>
        </w:rPr>
        <w:t xml:space="preserve"> i efikasno</w:t>
      </w:r>
      <w:r>
        <w:rPr>
          <w:rFonts w:asciiTheme="minorHAnsi" w:hAnsiTheme="minorHAnsi" w:cs="Calibri"/>
          <w:sz w:val="22"/>
          <w:szCs w:val="22"/>
          <w:lang w:val="sr-Cyrl-BA"/>
        </w:rPr>
        <w:t>g</w:t>
      </w:r>
      <w:r w:rsidRPr="004135A9">
        <w:rPr>
          <w:rFonts w:asciiTheme="minorHAnsi" w:hAnsiTheme="minorHAnsi" w:cs="Calibri"/>
          <w:sz w:val="22"/>
          <w:szCs w:val="22"/>
          <w:lang w:val="sr-Cyrl-BA"/>
        </w:rPr>
        <w:t xml:space="preserve"> sprovođenja postupka aukcije</w:t>
      </w:r>
      <w:r>
        <w:rPr>
          <w:rFonts w:asciiTheme="minorHAnsi" w:hAnsiTheme="minorHAnsi" w:cs="Calibri"/>
          <w:sz w:val="22"/>
          <w:szCs w:val="22"/>
          <w:lang w:val="sr-Cyrl-BA"/>
        </w:rPr>
        <w:t>,</w:t>
      </w:r>
      <w:r w:rsidRPr="004135A9">
        <w:rPr>
          <w:rFonts w:asciiTheme="minorHAnsi" w:hAnsiTheme="minorHAnsi" w:cs="Calibri"/>
          <w:sz w:val="22"/>
          <w:szCs w:val="22"/>
          <w:lang w:val="sr-Cyrl-BA"/>
        </w:rPr>
        <w:t xml:space="preserve"> </w:t>
      </w:r>
      <w:r>
        <w:rPr>
          <w:rFonts w:asciiTheme="minorHAnsi" w:hAnsiTheme="minorHAnsi" w:cs="Calibri"/>
          <w:sz w:val="22"/>
          <w:szCs w:val="22"/>
          <w:lang w:val="sr-Cyrl-BA"/>
        </w:rPr>
        <w:t xml:space="preserve">a </w:t>
      </w:r>
      <w:r w:rsidRPr="004135A9">
        <w:rPr>
          <w:rFonts w:asciiTheme="minorHAnsi" w:hAnsiTheme="minorHAnsi" w:cs="Calibri"/>
          <w:sz w:val="22"/>
          <w:szCs w:val="22"/>
          <w:lang w:val="sr-Cyrl-BA"/>
        </w:rPr>
        <w:t>u skladu sa Zakonom o obnovljivim izvorima energije (u daljem tekstu: Zakon), radi ostvarenja ciljeva učešća potrošnje električne energije iz obnovljivih izvora energije u bruto finalnoj potrošnji električne energije u Republici Srpskoj</w:t>
      </w:r>
      <w:r>
        <w:rPr>
          <w:rFonts w:asciiTheme="minorHAnsi" w:hAnsiTheme="minorHAnsi" w:cs="Calibri"/>
          <w:sz w:val="22"/>
          <w:szCs w:val="22"/>
          <w:lang w:val="sr-Cyrl-BA"/>
        </w:rPr>
        <w:t>.</w:t>
      </w:r>
    </w:p>
    <w:p w:rsidR="005A1B74" w:rsidRDefault="005A1B74" w:rsidP="002D1E7C">
      <w:pPr>
        <w:spacing w:before="120" w:after="120"/>
        <w:jc w:val="both"/>
        <w:rPr>
          <w:rFonts w:asciiTheme="minorHAnsi" w:hAnsiTheme="minorHAnsi" w:cs="Calibri"/>
          <w:sz w:val="22"/>
          <w:szCs w:val="22"/>
          <w:lang w:val="sr-Cyrl-BA"/>
        </w:rPr>
      </w:pPr>
      <w:r w:rsidRPr="004135A9">
        <w:rPr>
          <w:rFonts w:asciiTheme="minorHAnsi" w:hAnsiTheme="minorHAnsi" w:cs="Calibri"/>
          <w:sz w:val="22"/>
          <w:szCs w:val="22"/>
          <w:lang w:val="sr-Cyrl-BA"/>
        </w:rPr>
        <w:t xml:space="preserve">Ovim </w:t>
      </w:r>
      <w:r>
        <w:rPr>
          <w:rFonts w:asciiTheme="minorHAnsi" w:hAnsiTheme="minorHAnsi" w:cs="Calibri"/>
          <w:sz w:val="22"/>
          <w:szCs w:val="22"/>
          <w:lang w:val="sr-Cyrl-BA"/>
        </w:rPr>
        <w:t>P</w:t>
      </w:r>
      <w:r w:rsidRPr="004135A9">
        <w:rPr>
          <w:rFonts w:asciiTheme="minorHAnsi" w:hAnsiTheme="minorHAnsi" w:cs="Calibri"/>
          <w:sz w:val="22"/>
          <w:szCs w:val="22"/>
          <w:lang w:val="sr-Cyrl-BA"/>
        </w:rPr>
        <w:t>ravilnikom bliže se uređuje sprovođenje javnog nadmetanja putem aukcije radi izbora najpovoljnijih ponuda za izgradnju velikih postrojenja za proizvodnju električne energije iz obnovljivih izvora i ostvarenje podsticaja proizvodnje po datoj tehnologiji i kapacitetu, u skladu sa Programom o korišćenju obnovljivih izvora energije</w:t>
      </w:r>
      <w:r>
        <w:rPr>
          <w:rFonts w:asciiTheme="minorHAnsi" w:hAnsiTheme="minorHAnsi" w:cs="Calibri"/>
          <w:sz w:val="22"/>
          <w:szCs w:val="22"/>
          <w:lang w:val="sr-Cyrl-BA"/>
        </w:rPr>
        <w:t xml:space="preserve">. Pravilnik je objavljen u </w:t>
      </w:r>
      <w:r w:rsidRPr="00982E2E">
        <w:rPr>
          <w:rFonts w:asciiTheme="minorHAnsi" w:hAnsiTheme="minorHAnsi" w:cs="Calibri"/>
          <w:sz w:val="22"/>
          <w:szCs w:val="22"/>
          <w:lang w:val="sr-Cyrl-BA"/>
        </w:rPr>
        <w:t>Službenom glas</w:t>
      </w:r>
      <w:r>
        <w:rPr>
          <w:rFonts w:asciiTheme="minorHAnsi" w:hAnsiTheme="minorHAnsi" w:cs="Calibri"/>
          <w:sz w:val="22"/>
          <w:szCs w:val="22"/>
          <w:lang w:val="sr-Cyrl-BA"/>
        </w:rPr>
        <w:t>niku Republike Srpske broj 1/24.</w:t>
      </w:r>
    </w:p>
    <w:p w:rsidR="005A1B74" w:rsidRDefault="005A1B74" w:rsidP="002D1E7C">
      <w:pPr>
        <w:jc w:val="both"/>
        <w:rPr>
          <w:rFonts w:asciiTheme="minorHAnsi" w:hAnsiTheme="minorHAnsi" w:cs="Calibri"/>
          <w:sz w:val="22"/>
          <w:szCs w:val="22"/>
          <w:lang w:val="sr-Cyrl-BA"/>
        </w:rPr>
      </w:pPr>
    </w:p>
    <w:p w:rsidR="005A1B74" w:rsidRPr="004135A9" w:rsidRDefault="005A1B74" w:rsidP="002D1E7C">
      <w:pPr>
        <w:numPr>
          <w:ilvl w:val="0"/>
          <w:numId w:val="26"/>
        </w:numPr>
        <w:jc w:val="both"/>
        <w:rPr>
          <w:rFonts w:asciiTheme="minorHAnsi" w:hAnsiTheme="minorHAnsi" w:cs="Calibri"/>
          <w:b/>
          <w:bCs/>
          <w:i/>
          <w:sz w:val="22"/>
          <w:szCs w:val="22"/>
          <w:lang w:val="sr-Cyrl-BA"/>
        </w:rPr>
      </w:pPr>
      <w:r w:rsidRPr="004135A9">
        <w:rPr>
          <w:rFonts w:asciiTheme="minorHAnsi" w:hAnsiTheme="minorHAnsi" w:cs="Calibri"/>
          <w:b/>
          <w:bCs/>
          <w:i/>
          <w:sz w:val="22"/>
          <w:szCs w:val="22"/>
          <w:lang w:val="sr-Cyrl-BA"/>
        </w:rPr>
        <w:t>Odluka o izmjenama i dopun</w:t>
      </w:r>
      <w:r>
        <w:rPr>
          <w:rFonts w:asciiTheme="minorHAnsi" w:hAnsiTheme="minorHAnsi" w:cs="Calibri"/>
          <w:b/>
          <w:bCs/>
          <w:i/>
          <w:sz w:val="22"/>
          <w:szCs w:val="22"/>
          <w:lang w:val="sr-Cyrl-BA"/>
        </w:rPr>
        <w:t>a</w:t>
      </w:r>
      <w:r w:rsidRPr="004135A9">
        <w:rPr>
          <w:rFonts w:asciiTheme="minorHAnsi" w:hAnsiTheme="minorHAnsi" w:cs="Calibri"/>
          <w:b/>
          <w:bCs/>
          <w:i/>
          <w:sz w:val="22"/>
          <w:szCs w:val="22"/>
          <w:lang w:val="sr-Cyrl-BA"/>
        </w:rPr>
        <w:t xml:space="preserve">ma Pravilnik o podsticanju proizvodnje električne </w:t>
      </w:r>
      <w:r>
        <w:rPr>
          <w:rFonts w:asciiTheme="minorHAnsi" w:hAnsiTheme="minorHAnsi" w:cs="Calibri"/>
          <w:b/>
          <w:bCs/>
          <w:i/>
          <w:sz w:val="22"/>
          <w:szCs w:val="22"/>
          <w:lang w:val="sr-Cyrl-BA"/>
        </w:rPr>
        <w:t>e</w:t>
      </w:r>
      <w:r w:rsidRPr="004135A9">
        <w:rPr>
          <w:rFonts w:asciiTheme="minorHAnsi" w:hAnsiTheme="minorHAnsi" w:cs="Calibri"/>
          <w:b/>
          <w:bCs/>
          <w:i/>
          <w:sz w:val="22"/>
          <w:szCs w:val="22"/>
          <w:lang w:val="sr-Cyrl-BA"/>
        </w:rPr>
        <w:t xml:space="preserve">nergije iz obnovljivih izvora </w:t>
      </w:r>
    </w:p>
    <w:p w:rsidR="005A1B74" w:rsidRDefault="005A1B74" w:rsidP="002D1E7C">
      <w:pPr>
        <w:jc w:val="both"/>
        <w:rPr>
          <w:rFonts w:asciiTheme="minorHAnsi" w:hAnsiTheme="minorHAnsi" w:cs="Calibri"/>
          <w:b/>
          <w:bCs/>
          <w:i/>
          <w:sz w:val="22"/>
          <w:szCs w:val="22"/>
          <w:highlight w:val="green"/>
          <w:lang w:val="sr-Cyrl-BA"/>
        </w:rPr>
      </w:pPr>
    </w:p>
    <w:p w:rsidR="005A1B74" w:rsidRDefault="005A1B74" w:rsidP="002D1E7C">
      <w:pPr>
        <w:jc w:val="both"/>
        <w:rPr>
          <w:rFonts w:asciiTheme="minorHAnsi" w:hAnsiTheme="minorHAnsi" w:cs="Calibri"/>
          <w:b/>
          <w:bCs/>
          <w:i/>
          <w:sz w:val="22"/>
          <w:szCs w:val="22"/>
          <w:lang w:val="sr-Cyrl-BA"/>
        </w:rPr>
      </w:pPr>
      <w:r w:rsidRPr="004135A9">
        <w:rPr>
          <w:rFonts w:asciiTheme="minorHAnsi" w:hAnsiTheme="minorHAnsi" w:cs="Calibri"/>
          <w:sz w:val="22"/>
          <w:szCs w:val="22"/>
          <w:lang w:val="sr-Cyrl-BA"/>
        </w:rPr>
        <w:t xml:space="preserve">Izmjena Pravilnika o podsticanju proizvodnje električne </w:t>
      </w:r>
      <w:r>
        <w:rPr>
          <w:rFonts w:asciiTheme="minorHAnsi" w:hAnsiTheme="minorHAnsi" w:cs="Calibri"/>
          <w:sz w:val="22"/>
          <w:szCs w:val="22"/>
          <w:lang w:val="sr-Cyrl-BA"/>
        </w:rPr>
        <w:t>e</w:t>
      </w:r>
      <w:r w:rsidRPr="004135A9">
        <w:rPr>
          <w:rFonts w:asciiTheme="minorHAnsi" w:hAnsiTheme="minorHAnsi" w:cs="Calibri"/>
          <w:sz w:val="22"/>
          <w:szCs w:val="22"/>
          <w:lang w:val="sr-Cyrl-BA"/>
        </w:rPr>
        <w:t>nergije iz obnovljivih izvora koja je objavljena u Službenom glasniku, broj 2/24 od 4. januara 2024. godine odnosila se na ispravku greške u članu 72. stav 2. Pravilnika.</w:t>
      </w:r>
      <w:r>
        <w:rPr>
          <w:rFonts w:asciiTheme="minorHAnsi" w:hAnsiTheme="minorHAnsi" w:cs="Calibri"/>
          <w:b/>
          <w:bCs/>
          <w:i/>
          <w:sz w:val="22"/>
          <w:szCs w:val="22"/>
          <w:lang w:val="sr-Cyrl-BA"/>
        </w:rPr>
        <w:t xml:space="preserve"> </w:t>
      </w:r>
    </w:p>
    <w:p w:rsidR="005A1B74" w:rsidRPr="004135A9" w:rsidRDefault="005A1B74" w:rsidP="002D1E7C">
      <w:pPr>
        <w:jc w:val="both"/>
        <w:rPr>
          <w:rFonts w:asciiTheme="minorHAnsi" w:hAnsiTheme="minorHAnsi" w:cs="Calibri"/>
          <w:b/>
          <w:bCs/>
          <w:i/>
          <w:sz w:val="22"/>
          <w:szCs w:val="22"/>
          <w:highlight w:val="green"/>
          <w:lang w:val="sr-Cyrl-BA"/>
        </w:rPr>
      </w:pPr>
    </w:p>
    <w:p w:rsidR="005A1B74" w:rsidRPr="0037433A" w:rsidRDefault="005A1B74" w:rsidP="002D1E7C">
      <w:pPr>
        <w:numPr>
          <w:ilvl w:val="0"/>
          <w:numId w:val="26"/>
        </w:numPr>
        <w:jc w:val="both"/>
        <w:rPr>
          <w:rFonts w:asciiTheme="minorHAnsi" w:hAnsiTheme="minorHAnsi" w:cs="Calibri"/>
          <w:b/>
          <w:bCs/>
          <w:i/>
          <w:sz w:val="22"/>
          <w:szCs w:val="22"/>
          <w:lang w:val="sr-Cyrl-BA"/>
        </w:rPr>
      </w:pPr>
      <w:r w:rsidRPr="0037433A">
        <w:rPr>
          <w:rFonts w:asciiTheme="minorHAnsi" w:hAnsiTheme="minorHAnsi" w:cs="Calibri"/>
          <w:b/>
          <w:bCs/>
          <w:i/>
          <w:sz w:val="22"/>
          <w:szCs w:val="22"/>
          <w:lang w:val="sr-Cyrl-BA"/>
        </w:rPr>
        <w:t>Izmjena Opštih uslova za isporuku i snabdijevanje električnom energijom</w:t>
      </w:r>
    </w:p>
    <w:p w:rsidR="005A1B74" w:rsidRPr="0037433A" w:rsidRDefault="005A1B74" w:rsidP="002D1E7C">
      <w:pPr>
        <w:ind w:left="1080"/>
        <w:jc w:val="both"/>
        <w:rPr>
          <w:rFonts w:asciiTheme="minorHAnsi" w:hAnsiTheme="minorHAnsi" w:cs="Calibri"/>
          <w:b/>
          <w:bCs/>
          <w:i/>
          <w:sz w:val="22"/>
          <w:szCs w:val="22"/>
          <w:lang w:val="sr-Cyrl-BA"/>
        </w:rPr>
      </w:pPr>
    </w:p>
    <w:p w:rsidR="005A1B74" w:rsidRPr="0037433A" w:rsidRDefault="005A1B74" w:rsidP="002D1E7C">
      <w:pPr>
        <w:spacing w:before="120"/>
        <w:jc w:val="both"/>
        <w:rPr>
          <w:rFonts w:asciiTheme="minorHAnsi" w:hAnsiTheme="minorHAnsi" w:cs="Calibri"/>
          <w:sz w:val="22"/>
          <w:szCs w:val="22"/>
          <w:lang w:val="sr-Cyrl-BA"/>
        </w:rPr>
      </w:pPr>
      <w:r w:rsidRPr="0037433A">
        <w:rPr>
          <w:rFonts w:asciiTheme="minorHAnsi" w:hAnsiTheme="minorHAnsi" w:cs="Calibri"/>
          <w:bCs/>
          <w:sz w:val="22"/>
          <w:szCs w:val="22"/>
          <w:lang w:val="sr-Cyrl-BA"/>
        </w:rPr>
        <w:t xml:space="preserve">Regulatorna komisija je </w:t>
      </w:r>
      <w:r w:rsidRPr="0037433A">
        <w:rPr>
          <w:rFonts w:asciiTheme="minorHAnsi" w:hAnsiTheme="minorHAnsi"/>
          <w:sz w:val="22"/>
          <w:szCs w:val="22"/>
        </w:rPr>
        <w:t>po</w:t>
      </w:r>
      <w:r w:rsidRPr="0037433A">
        <w:rPr>
          <w:rFonts w:asciiTheme="minorHAnsi" w:hAnsiTheme="minorHAnsi"/>
          <w:lang w:val="sr-Cyrl-BA"/>
        </w:rPr>
        <w:t xml:space="preserve"> </w:t>
      </w:r>
      <w:r w:rsidRPr="0037433A">
        <w:rPr>
          <w:rFonts w:asciiTheme="minorHAnsi" w:hAnsiTheme="minorHAnsi" w:cs="Calibri"/>
          <w:bCs/>
          <w:sz w:val="22"/>
          <w:szCs w:val="22"/>
          <w:lang w:val="sr-Cyrl-BA"/>
        </w:rPr>
        <w:t>hitnom postupku, bez sprovođenja javne rasprave, donijela Izmjenu Opštih uslova za isporuku i snabdijevanje električnom energijom, koja je objavljena u Službenom glasniku Republike Srpske broj 75/24, radi usklađivanja odredbe člana 49. stav 7. Opštih uslova za isporuku i snabdijevanje električnom energijom (Službeni glasnik Republike Srpske, broj 13/22) sa Zakonom o zaštiti potrošača u Republici Srpskoj (Službeni glasnik Republike Srpske, broj 6/12, 63/14, 18/17 i 90/21) i Zakonom o obligacionim odnosima (Službeni list SFRJ, broj 29/78, 39/85, 45/89 i 57/89) i (Službeni Glasnik Republike Srpske, broj 17/93, 3/96, 39/03, 74/04)</w:t>
      </w:r>
      <w:r w:rsidRPr="0037433A">
        <w:rPr>
          <w:rFonts w:asciiTheme="minorHAnsi" w:hAnsiTheme="minorHAnsi" w:cs="Calibri"/>
          <w:bCs/>
          <w:sz w:val="22"/>
          <w:szCs w:val="22"/>
          <w:lang w:val="bs-Latn-BA"/>
        </w:rPr>
        <w:t>.</w:t>
      </w:r>
    </w:p>
    <w:p w:rsidR="005A1B74" w:rsidRDefault="005A1B74" w:rsidP="002D1E7C">
      <w:pPr>
        <w:ind w:left="1080"/>
        <w:jc w:val="both"/>
        <w:rPr>
          <w:rFonts w:asciiTheme="minorHAnsi" w:hAnsiTheme="minorHAnsi" w:cs="Calibri"/>
          <w:b/>
          <w:bCs/>
          <w:i/>
          <w:sz w:val="22"/>
          <w:szCs w:val="22"/>
          <w:lang w:val="sr-Cyrl-BA"/>
        </w:rPr>
      </w:pPr>
    </w:p>
    <w:p w:rsidR="005A1B74" w:rsidRPr="0037433A" w:rsidRDefault="005A1B74" w:rsidP="002D1E7C">
      <w:pPr>
        <w:numPr>
          <w:ilvl w:val="0"/>
          <w:numId w:val="26"/>
        </w:numPr>
        <w:jc w:val="both"/>
        <w:rPr>
          <w:rFonts w:asciiTheme="minorHAnsi" w:hAnsiTheme="minorHAnsi" w:cs="Calibri"/>
          <w:b/>
          <w:i/>
          <w:sz w:val="22"/>
          <w:szCs w:val="22"/>
          <w:lang w:val="sr-Cyrl-BA"/>
        </w:rPr>
      </w:pPr>
      <w:r w:rsidRPr="0037433A">
        <w:rPr>
          <w:rFonts w:asciiTheme="minorHAnsi" w:hAnsiTheme="minorHAnsi" w:cs="Calibri"/>
          <w:b/>
          <w:bCs/>
          <w:i/>
          <w:sz w:val="22"/>
          <w:szCs w:val="22"/>
          <w:lang w:val="sr-Cyrl-BA"/>
        </w:rPr>
        <w:t>Odluka</w:t>
      </w:r>
      <w:r w:rsidRPr="0037433A">
        <w:rPr>
          <w:rFonts w:asciiTheme="minorHAnsi" w:hAnsiTheme="minorHAnsi" w:cs="Calibri"/>
          <w:b/>
          <w:i/>
          <w:sz w:val="22"/>
          <w:szCs w:val="22"/>
          <w:lang w:val="sr-Cyrl-BA"/>
        </w:rPr>
        <w:t xml:space="preserve"> o visini jednokratnih regulatornih naknada </w:t>
      </w:r>
    </w:p>
    <w:p w:rsidR="005A1B74" w:rsidRPr="0037433A" w:rsidRDefault="005A1B74" w:rsidP="002D1E7C">
      <w:pPr>
        <w:spacing w:before="120" w:after="120"/>
        <w:jc w:val="both"/>
        <w:rPr>
          <w:rFonts w:asciiTheme="minorHAnsi" w:hAnsiTheme="minorHAnsi" w:cs="Calibri"/>
          <w:sz w:val="22"/>
          <w:szCs w:val="22"/>
          <w:lang w:val="sr-Cyrl-BA"/>
        </w:rPr>
      </w:pPr>
      <w:r w:rsidRPr="0037433A">
        <w:rPr>
          <w:rFonts w:asciiTheme="minorHAnsi" w:hAnsiTheme="minorHAnsi" w:cs="Calibri"/>
          <w:sz w:val="22"/>
          <w:szCs w:val="22"/>
          <w:lang w:val="sr-Cyrl-BA"/>
        </w:rPr>
        <w:t xml:space="preserve">Regulatorna komisija je donijela Odluku o izmjenama i dopunama Odluke o visini jednokratnih regulatornih naknada, broj 01-547-3/23/R-89-351, koja je objavljena u Službenom glasniku Republike Srpske broj 20/24 od 01.03.2024. godine. </w:t>
      </w:r>
    </w:p>
    <w:p w:rsidR="005A1B74" w:rsidRDefault="005A1B74" w:rsidP="002D1E7C">
      <w:pPr>
        <w:spacing w:before="120" w:after="120"/>
        <w:jc w:val="both"/>
        <w:rPr>
          <w:rFonts w:asciiTheme="minorHAnsi" w:hAnsiTheme="minorHAnsi" w:cs="Calibri"/>
          <w:sz w:val="22"/>
          <w:szCs w:val="22"/>
          <w:lang w:val="sr-Cyrl-BA"/>
        </w:rPr>
      </w:pPr>
      <w:r w:rsidRPr="0037433A">
        <w:rPr>
          <w:rFonts w:asciiTheme="minorHAnsi" w:hAnsiTheme="minorHAnsi" w:cs="Calibri"/>
          <w:sz w:val="22"/>
          <w:szCs w:val="22"/>
          <w:lang w:val="sr-Cyrl-BA"/>
        </w:rPr>
        <w:t xml:space="preserve">Ovom odlukom su utvrđene jednokratne regulatorne naknade za obradu zahtjeva za odobrenje prava na podsticaj, zahtjeva za promjenu vrste podsticaja, zahtjeva za ostvarivanje prava na podsticaj u slučaju promjene vlasnika postrojenja, zahtjeva za registraciju korisničkog naloga u registru garancija o porijeklu i zahtjeva za registraciju proizvodnog postrojenja, na nalogu registra garancija o porijklu, a sve u skladu sa članom 24. stav 1. Zakona o energetici, kojim se propisuje da se finansiranje rada Regulatorne komisije obezbjeđuje i iz jednokratnih naknada za postupke koje sprovodi po zahtjevima, kao i iz drugih izvora, u skladu sa propisima iz oblasti obnovljivih izvora energije. </w:t>
      </w:r>
    </w:p>
    <w:p w:rsidR="005A1B74" w:rsidRPr="0037433A" w:rsidRDefault="005A1B74" w:rsidP="002D1E7C">
      <w:pPr>
        <w:spacing w:before="120" w:after="120"/>
        <w:jc w:val="both"/>
        <w:rPr>
          <w:rFonts w:asciiTheme="minorHAnsi" w:hAnsiTheme="minorHAnsi" w:cs="Calibri"/>
          <w:sz w:val="22"/>
          <w:szCs w:val="22"/>
          <w:lang w:val="sr-Cyrl-BA"/>
        </w:rPr>
      </w:pPr>
    </w:p>
    <w:p w:rsidR="005A1B74" w:rsidRPr="0037433A" w:rsidRDefault="005A1B74" w:rsidP="002D1E7C">
      <w:pPr>
        <w:numPr>
          <w:ilvl w:val="0"/>
          <w:numId w:val="26"/>
        </w:numPr>
        <w:jc w:val="both"/>
        <w:rPr>
          <w:rFonts w:asciiTheme="minorHAnsi" w:hAnsiTheme="minorHAnsi" w:cs="Calibri"/>
          <w:sz w:val="22"/>
          <w:szCs w:val="22"/>
          <w:lang w:val="sr-Cyrl-BA"/>
        </w:rPr>
      </w:pPr>
      <w:r w:rsidRPr="0037433A">
        <w:rPr>
          <w:rFonts w:asciiTheme="minorHAnsi" w:hAnsiTheme="minorHAnsi" w:cs="Calibri"/>
          <w:b/>
          <w:bCs/>
          <w:i/>
          <w:sz w:val="22"/>
          <w:szCs w:val="22"/>
          <w:lang w:val="sr-Cyrl-BA"/>
        </w:rPr>
        <w:t>Desetogodišnji planovi razvoja elektrodistributivne mreže za period 2025-2034. godina</w:t>
      </w:r>
    </w:p>
    <w:p w:rsidR="005A1B74" w:rsidRPr="0037433A" w:rsidRDefault="005A1B74" w:rsidP="002D1E7C">
      <w:pPr>
        <w:jc w:val="both"/>
        <w:rPr>
          <w:rFonts w:asciiTheme="minorHAnsi" w:hAnsiTheme="minorHAnsi" w:cs="Calibri"/>
          <w:sz w:val="22"/>
          <w:szCs w:val="22"/>
          <w:lang w:val="sr-Cyrl-BA"/>
        </w:rPr>
      </w:pPr>
    </w:p>
    <w:p w:rsidR="005A1B74" w:rsidRPr="0037433A" w:rsidRDefault="005A1B74" w:rsidP="002D1E7C">
      <w:pPr>
        <w:spacing w:before="120" w:after="120"/>
        <w:jc w:val="both"/>
        <w:rPr>
          <w:rFonts w:asciiTheme="minorHAnsi" w:hAnsiTheme="minorHAnsi" w:cs="Calibri"/>
          <w:sz w:val="22"/>
          <w:szCs w:val="22"/>
          <w:lang w:val="sr-Cyrl-BA"/>
        </w:rPr>
      </w:pPr>
      <w:r w:rsidRPr="0037433A">
        <w:rPr>
          <w:rFonts w:asciiTheme="minorHAnsi" w:hAnsiTheme="minorHAnsi" w:cs="Calibri"/>
          <w:sz w:val="22"/>
          <w:szCs w:val="22"/>
          <w:lang w:val="sr-Cyrl-BA"/>
        </w:rPr>
        <w:t xml:space="preserve">Odredbom člana 53. stav 1. Zakona o električnoj energiji, operaterima distributivnog sistema električne energije u Republici Srpskoj je propisana obaveza donošenja i javnog objavljivanja desetogodišnjeg plana razvoja distributivne mreže, uz prethodno pribavljenu saglasnost Regulatorne komisije. Operateri distributivnog sistema su aktivnosti na izradi i donošenju Plana razvoja, započeli u 2023. godini, usvajanjem Studije desetogodišnjeg razvoja srednjenaponske mreže za period 2024 - </w:t>
      </w:r>
      <w:r w:rsidRPr="0037433A">
        <w:rPr>
          <w:rFonts w:asciiTheme="minorHAnsi" w:hAnsiTheme="minorHAnsi" w:cs="Calibri"/>
          <w:sz w:val="22"/>
          <w:szCs w:val="22"/>
          <w:lang w:val="sr-Cyrl-BA"/>
        </w:rPr>
        <w:lastRenderedPageBreak/>
        <w:t xml:space="preserve">2034. godina (u daljem tekstu: Studija), izrađene od strane Elektrotehničkog instituta „Nikola Tesla“ a.d. Beograd te su krajem 2023. godine dostavili i zahtjeve za davanje saglasnosti na Desetogodišnji plan razvoja distributivne mreže za period 2024 - 2033. godina. </w:t>
      </w:r>
    </w:p>
    <w:p w:rsidR="005A1B74" w:rsidRPr="0037433A" w:rsidRDefault="005A1B74" w:rsidP="002D1E7C">
      <w:pPr>
        <w:spacing w:before="120" w:after="120"/>
        <w:jc w:val="both"/>
        <w:rPr>
          <w:rFonts w:asciiTheme="minorHAnsi" w:hAnsiTheme="minorHAnsi" w:cs="Calibri"/>
          <w:sz w:val="22"/>
          <w:szCs w:val="22"/>
          <w:lang w:val="sr-Cyrl-BA"/>
        </w:rPr>
      </w:pPr>
      <w:r w:rsidRPr="0037433A">
        <w:rPr>
          <w:rFonts w:asciiTheme="minorHAnsi" w:hAnsiTheme="minorHAnsi" w:cs="Calibri"/>
          <w:sz w:val="22"/>
          <w:szCs w:val="22"/>
          <w:lang w:val="sr-Cyrl-BA"/>
        </w:rPr>
        <w:t>Regulatorna komisija je, na osnovu odredbe člana 28. tačka 19. Zakona o električnoj energiji, razmotrila zahtjeve te utvrdila da isti sadrže nedostatke i preporučeno je da operateri distributivnog sistema, s obzirom na javnu uslugu koju obavljaju, prethodno sprovedu postupak javnog razmatranja desetogodišnjeg plana razvoja distributivne mreže i održe javne rasprave, kako bi se svim institucijama, a naročito lokalnim zajednicama i zainteresovanim licima, omogućilo da iznesu svoje primjedbe i komentare na plan razvoja.</w:t>
      </w:r>
    </w:p>
    <w:p w:rsidR="005A1B74" w:rsidRDefault="005A1B74" w:rsidP="002D1E7C">
      <w:pPr>
        <w:spacing w:before="120" w:after="120"/>
        <w:jc w:val="both"/>
        <w:rPr>
          <w:rFonts w:asciiTheme="minorHAnsi" w:hAnsiTheme="minorHAnsi" w:cs="Calibri"/>
          <w:sz w:val="22"/>
          <w:szCs w:val="22"/>
          <w:lang w:val="sr-Cyrl-BA"/>
        </w:rPr>
      </w:pPr>
      <w:r w:rsidRPr="0037433A">
        <w:rPr>
          <w:rFonts w:asciiTheme="minorHAnsi" w:hAnsiTheme="minorHAnsi" w:cs="Calibri"/>
          <w:sz w:val="22"/>
          <w:szCs w:val="22"/>
          <w:lang w:val="sr-Cyrl-BA"/>
        </w:rPr>
        <w:t xml:space="preserve">Operateri distributivnog sistema su postupajući po aktu Regulatorne komisije, izradili Nacrte Planova razvoja, koji su upućeni na javno razmatranje i u kom postupku su održane i javne rasprave. Nakon toga su, uzimajući u obzir dostavljene komentare tokom javnog razmatranja, izrađeni prijedlozi Plana razvoja, koji su krajem 2024. godine dostavljeni Regulatornoj komisiji na davanje saglasnosti. </w:t>
      </w:r>
    </w:p>
    <w:p w:rsidR="005A1B74" w:rsidRPr="00281D1F" w:rsidRDefault="005A1B74" w:rsidP="002D1E7C">
      <w:pPr>
        <w:pStyle w:val="Heading3"/>
        <w:numPr>
          <w:ilvl w:val="2"/>
          <w:numId w:val="3"/>
        </w:numPr>
        <w:tabs>
          <w:tab w:val="clear" w:pos="1440"/>
          <w:tab w:val="num" w:pos="360"/>
        </w:tabs>
        <w:spacing w:after="240"/>
        <w:ind w:left="0" w:firstLine="0"/>
        <w:rPr>
          <w:rFonts w:asciiTheme="minorHAnsi" w:hAnsiTheme="minorHAnsi"/>
          <w:sz w:val="24"/>
          <w:lang w:val="sr-Cyrl-BA"/>
        </w:rPr>
      </w:pPr>
      <w:bookmarkStart w:id="64" w:name="_Toc137471228"/>
      <w:bookmarkStart w:id="65" w:name="_Toc137471229"/>
      <w:bookmarkStart w:id="66" w:name="_Toc137471230"/>
      <w:bookmarkStart w:id="67" w:name="_Toc137471231"/>
      <w:bookmarkStart w:id="68" w:name="_Toc137471232"/>
      <w:bookmarkStart w:id="69" w:name="_Toc137471233"/>
      <w:bookmarkStart w:id="70" w:name="_Toc137471234"/>
      <w:bookmarkStart w:id="71" w:name="_Toc137471239"/>
      <w:bookmarkStart w:id="72" w:name="_Toc105493156"/>
      <w:bookmarkStart w:id="73" w:name="_Toc105493157"/>
      <w:bookmarkStart w:id="74" w:name="_Toc105493158"/>
      <w:bookmarkStart w:id="75" w:name="_Toc210301151"/>
      <w:bookmarkEnd w:id="64"/>
      <w:bookmarkEnd w:id="65"/>
      <w:bookmarkEnd w:id="66"/>
      <w:bookmarkEnd w:id="67"/>
      <w:bookmarkEnd w:id="68"/>
      <w:bookmarkEnd w:id="69"/>
      <w:bookmarkEnd w:id="70"/>
      <w:bookmarkEnd w:id="71"/>
      <w:bookmarkEnd w:id="72"/>
      <w:bookmarkEnd w:id="73"/>
      <w:bookmarkEnd w:id="74"/>
      <w:r w:rsidRPr="00281D1F">
        <w:rPr>
          <w:rFonts w:asciiTheme="minorHAnsi" w:hAnsiTheme="minorHAnsi"/>
          <w:sz w:val="24"/>
          <w:lang w:val="sr-Cyrl-BA"/>
        </w:rPr>
        <w:t>Izdavanje dozvola</w:t>
      </w:r>
      <w:bookmarkEnd w:id="75"/>
      <w:r w:rsidRPr="00281D1F">
        <w:rPr>
          <w:rFonts w:asciiTheme="minorHAnsi" w:hAnsiTheme="minorHAnsi"/>
          <w:sz w:val="24"/>
          <w:lang w:val="sr-Cyrl-BA"/>
        </w:rPr>
        <w:t xml:space="preserve">   </w:t>
      </w:r>
    </w:p>
    <w:p w:rsidR="005A1B74" w:rsidRPr="008144B0" w:rsidRDefault="005A1B74" w:rsidP="002D1E7C">
      <w:pPr>
        <w:spacing w:after="120"/>
        <w:jc w:val="both"/>
        <w:rPr>
          <w:rFonts w:asciiTheme="minorHAnsi" w:hAnsiTheme="minorHAnsi" w:cs="Calibri"/>
          <w:sz w:val="22"/>
          <w:szCs w:val="22"/>
          <w:lang w:val="sr-Cyrl-BA"/>
        </w:rPr>
      </w:pPr>
      <w:r w:rsidRPr="008144B0">
        <w:rPr>
          <w:rFonts w:asciiTheme="minorHAnsi" w:hAnsiTheme="minorHAnsi" w:cs="Calibri"/>
          <w:sz w:val="22"/>
          <w:szCs w:val="22"/>
          <w:lang w:val="sr-Cyrl-BA"/>
        </w:rPr>
        <w:t xml:space="preserve">Regulatorna komisija je, između ostalog, nadležna za izdavanje dozvola za obavljanje elektroenergetskih djelatnosti, kao i nadzor nad poštovanjem uslova izdatih dozvola. </w:t>
      </w:r>
    </w:p>
    <w:p w:rsidR="005A1B74" w:rsidRPr="008144B0" w:rsidRDefault="005A1B74" w:rsidP="002D1E7C">
      <w:pPr>
        <w:spacing w:after="120"/>
        <w:jc w:val="both"/>
        <w:rPr>
          <w:rFonts w:asciiTheme="minorHAnsi" w:hAnsiTheme="minorHAnsi" w:cs="Calibri"/>
          <w:sz w:val="22"/>
          <w:szCs w:val="22"/>
          <w:lang w:val="sr-Cyrl-BA"/>
        </w:rPr>
      </w:pPr>
      <w:r w:rsidRPr="008144B0">
        <w:rPr>
          <w:rFonts w:asciiTheme="minorHAnsi" w:hAnsiTheme="minorHAnsi" w:cs="Calibri"/>
          <w:sz w:val="22"/>
          <w:szCs w:val="22"/>
          <w:lang w:val="sr-Cyrl-BA"/>
        </w:rPr>
        <w:t xml:space="preserve">Zaključno za 31. decembrom 2024. godine na snazi </w:t>
      </w:r>
      <w:r>
        <w:rPr>
          <w:rFonts w:asciiTheme="minorHAnsi" w:hAnsiTheme="minorHAnsi" w:cs="Calibri"/>
          <w:sz w:val="22"/>
          <w:szCs w:val="22"/>
          <w:lang w:val="sr-Cyrl-BA"/>
        </w:rPr>
        <w:t>su</w:t>
      </w:r>
      <w:r w:rsidRPr="008144B0">
        <w:rPr>
          <w:rFonts w:asciiTheme="minorHAnsi" w:hAnsiTheme="minorHAnsi" w:cs="Calibri"/>
          <w:sz w:val="22"/>
          <w:szCs w:val="22"/>
          <w:lang w:val="sr-Cyrl-BA"/>
        </w:rPr>
        <w:t xml:space="preserve"> bil</w:t>
      </w:r>
      <w:r>
        <w:rPr>
          <w:rFonts w:asciiTheme="minorHAnsi" w:hAnsiTheme="minorHAnsi" w:cs="Calibri"/>
          <w:sz w:val="22"/>
          <w:szCs w:val="22"/>
          <w:lang w:val="sr-Cyrl-BA"/>
        </w:rPr>
        <w:t>e</w:t>
      </w:r>
      <w:r w:rsidRPr="008144B0">
        <w:rPr>
          <w:rFonts w:asciiTheme="minorHAnsi" w:hAnsiTheme="minorHAnsi" w:cs="Calibri"/>
          <w:sz w:val="22"/>
          <w:szCs w:val="22"/>
          <w:lang w:val="sr-Cyrl-BA"/>
        </w:rPr>
        <w:t xml:space="preserve"> ukupno </w:t>
      </w:r>
      <w:r w:rsidRPr="008144B0">
        <w:rPr>
          <w:rFonts w:asciiTheme="minorHAnsi" w:hAnsiTheme="minorHAnsi" w:cs="Calibri"/>
          <w:sz w:val="22"/>
          <w:szCs w:val="22"/>
          <w:lang w:val="sr-Latn-BA"/>
        </w:rPr>
        <w:t>72</w:t>
      </w:r>
      <w:r w:rsidRPr="008144B0">
        <w:rPr>
          <w:rFonts w:asciiTheme="minorHAnsi" w:hAnsiTheme="minorHAnsi" w:cs="Calibri"/>
          <w:sz w:val="22"/>
          <w:szCs w:val="22"/>
          <w:lang w:val="sr-Cyrl-BA"/>
        </w:rPr>
        <w:t xml:space="preserve"> dozvol</w:t>
      </w:r>
      <w:r w:rsidRPr="008144B0">
        <w:rPr>
          <w:rFonts w:asciiTheme="minorHAnsi" w:hAnsiTheme="minorHAnsi" w:cs="Calibri"/>
          <w:sz w:val="22"/>
          <w:szCs w:val="22"/>
          <w:lang w:val="sr-Latn-BA"/>
        </w:rPr>
        <w:t>e</w:t>
      </w:r>
      <w:r w:rsidRPr="008144B0">
        <w:rPr>
          <w:rFonts w:asciiTheme="minorHAnsi" w:hAnsiTheme="minorHAnsi" w:cs="Calibri"/>
          <w:sz w:val="22"/>
          <w:szCs w:val="22"/>
          <w:lang w:val="sr-Cyrl-BA"/>
        </w:rPr>
        <w:t xml:space="preserve"> za obavljanje energetskih djelatnosti, pri čemu su u sektoru električne energije na snazi bile </w:t>
      </w:r>
      <w:r w:rsidRPr="008144B0">
        <w:rPr>
          <w:rFonts w:asciiTheme="minorHAnsi" w:hAnsiTheme="minorHAnsi" w:cs="Calibri"/>
          <w:sz w:val="22"/>
          <w:szCs w:val="22"/>
          <w:lang w:val="sr-Latn-BA"/>
        </w:rPr>
        <w:t>5</w:t>
      </w:r>
      <w:r w:rsidRPr="008144B0">
        <w:rPr>
          <w:rFonts w:asciiTheme="minorHAnsi" w:hAnsiTheme="minorHAnsi" w:cs="Calibri"/>
          <w:sz w:val="22"/>
          <w:szCs w:val="22"/>
          <w:lang w:val="sr-Cyrl-BA"/>
        </w:rPr>
        <w:t xml:space="preserve">4 dozvole. </w:t>
      </w:r>
    </w:p>
    <w:p w:rsidR="005A1B74" w:rsidRPr="008144B0" w:rsidRDefault="005A1B74" w:rsidP="002D1E7C">
      <w:pPr>
        <w:spacing w:after="120"/>
        <w:jc w:val="both"/>
        <w:rPr>
          <w:rFonts w:asciiTheme="minorHAnsi" w:hAnsiTheme="minorHAnsi" w:cs="Calibri"/>
          <w:sz w:val="22"/>
          <w:szCs w:val="22"/>
          <w:lang w:val="sr-Cyrl-BA"/>
        </w:rPr>
      </w:pPr>
      <w:r w:rsidRPr="008144B0">
        <w:rPr>
          <w:rFonts w:asciiTheme="minorHAnsi" w:hAnsiTheme="minorHAnsi" w:cs="Calibri"/>
          <w:sz w:val="22"/>
          <w:szCs w:val="22"/>
          <w:lang w:val="sr-Cyrl-BA"/>
        </w:rPr>
        <w:t xml:space="preserve">U toku 2024. godine, Regulatorna komisija je izdala trinaest novih dozvola, produžila deset dozvola te je četiri puta vršena izmjena dozvola za obavljanje elektroenergetske djelatnosti. </w:t>
      </w:r>
    </w:p>
    <w:p w:rsidR="005A1B74" w:rsidRPr="008144B0" w:rsidRDefault="005A1B74" w:rsidP="002D1E7C">
      <w:pPr>
        <w:spacing w:after="120"/>
        <w:jc w:val="both"/>
        <w:rPr>
          <w:rFonts w:asciiTheme="minorHAnsi" w:hAnsiTheme="minorHAnsi" w:cs="Calibri"/>
          <w:sz w:val="22"/>
          <w:szCs w:val="22"/>
          <w:lang w:val="sr-Cyrl-BA"/>
        </w:rPr>
      </w:pPr>
      <w:r w:rsidRPr="008144B0">
        <w:rPr>
          <w:rFonts w:asciiTheme="minorHAnsi" w:hAnsiTheme="minorHAnsi" w:cs="Calibri"/>
          <w:sz w:val="22"/>
          <w:szCs w:val="22"/>
          <w:lang w:val="sr-Cyrl-BA"/>
        </w:rPr>
        <w:t>Registar izdatih dozvola je objavljen na internet stranici Regulatorne komisije (www.reers.ba) i sadrži podatke o vrsti dozvole, uslovima dozvole, rješenju o izdavanju dozvole i roku važenja dozvole, kao i rješenja o izmjeni i ukidanju dozvola.</w:t>
      </w:r>
    </w:p>
    <w:p w:rsidR="005A1B74" w:rsidRPr="008144B0" w:rsidRDefault="005A1B74" w:rsidP="002D1E7C">
      <w:pPr>
        <w:spacing w:after="120"/>
        <w:jc w:val="both"/>
        <w:rPr>
          <w:rFonts w:asciiTheme="minorHAnsi" w:hAnsiTheme="minorHAnsi" w:cs="Calibri"/>
          <w:sz w:val="22"/>
          <w:szCs w:val="22"/>
          <w:lang w:val="sr-Cyrl-BA"/>
        </w:rPr>
      </w:pPr>
      <w:r w:rsidRPr="008144B0">
        <w:rPr>
          <w:rFonts w:asciiTheme="minorHAnsi" w:hAnsiTheme="minorHAnsi" w:cs="Calibri"/>
          <w:sz w:val="22"/>
          <w:szCs w:val="22"/>
          <w:lang w:val="sr-Cyrl-BA"/>
        </w:rPr>
        <w:t>U tabeli 3 je dat pregled postupaka za izdavanje dozvola u elektroenergetskom sektoru u toku 2024. godine.</w:t>
      </w:r>
    </w:p>
    <w:p w:rsidR="005A1B74" w:rsidRPr="008144B0" w:rsidRDefault="005A1B74" w:rsidP="002D1E7C">
      <w:pPr>
        <w:pStyle w:val="Caption"/>
        <w:spacing w:before="120" w:after="60"/>
        <w:jc w:val="both"/>
        <w:rPr>
          <w:rFonts w:asciiTheme="minorHAnsi" w:hAnsiTheme="minorHAnsi" w:cs="Calibri"/>
          <w:b w:val="0"/>
          <w:i/>
          <w:sz w:val="22"/>
          <w:szCs w:val="22"/>
          <w:lang w:val="sr-Cyrl-BA"/>
        </w:rPr>
      </w:pPr>
      <w:r w:rsidRPr="008144B0">
        <w:rPr>
          <w:rFonts w:asciiTheme="minorHAnsi" w:hAnsiTheme="minorHAnsi"/>
          <w:lang w:val="sr-Cyrl-BA"/>
        </w:rPr>
        <w:t>Tabela 3</w:t>
      </w:r>
      <w:r w:rsidRPr="008144B0">
        <w:rPr>
          <w:rFonts w:asciiTheme="minorHAnsi" w:hAnsiTheme="minorHAnsi" w:cs="Calibri"/>
          <w:sz w:val="22"/>
          <w:szCs w:val="22"/>
          <w:lang w:val="sr-Cyrl-BA"/>
        </w:rPr>
        <w:t xml:space="preserve"> </w:t>
      </w:r>
      <w:r w:rsidRPr="008144B0">
        <w:rPr>
          <w:rFonts w:asciiTheme="minorHAnsi" w:hAnsiTheme="minorHAnsi" w:cs="Calibri"/>
          <w:b w:val="0"/>
          <w:sz w:val="22"/>
          <w:szCs w:val="22"/>
          <w:lang w:val="sr-Cyrl-BA"/>
        </w:rPr>
        <w:t>-</w:t>
      </w:r>
      <w:r w:rsidRPr="008144B0">
        <w:rPr>
          <w:rFonts w:asciiTheme="minorHAnsi" w:hAnsiTheme="minorHAnsi" w:cs="Calibri"/>
          <w:sz w:val="22"/>
          <w:szCs w:val="22"/>
          <w:lang w:val="sr-Cyrl-BA"/>
        </w:rPr>
        <w:t xml:space="preserve"> </w:t>
      </w:r>
      <w:r w:rsidRPr="008144B0">
        <w:rPr>
          <w:rFonts w:asciiTheme="minorHAnsi" w:hAnsiTheme="minorHAnsi" w:cs="Calibri"/>
          <w:b w:val="0"/>
          <w:i/>
          <w:sz w:val="22"/>
          <w:szCs w:val="22"/>
          <w:lang w:val="sr-Cyrl-BA"/>
        </w:rPr>
        <w:t>Pregled postupaka za izdavanje dozvola u sektoru električne energije u 2024.</w:t>
      </w:r>
      <w:r>
        <w:rPr>
          <w:rFonts w:asciiTheme="minorHAnsi" w:hAnsiTheme="minorHAnsi" w:cs="Calibri"/>
          <w:b w:val="0"/>
          <w:i/>
          <w:sz w:val="22"/>
          <w:szCs w:val="22"/>
          <w:lang w:val="sr-Cyrl-BA"/>
        </w:rPr>
        <w:t xml:space="preserve"> god.</w:t>
      </w:r>
    </w:p>
    <w:tbl>
      <w:tblPr>
        <w:tblStyle w:val="ColorfulList-Accent3"/>
        <w:tblW w:w="9782" w:type="dxa"/>
        <w:tblLook w:val="01E0" w:firstRow="1" w:lastRow="1" w:firstColumn="1" w:lastColumn="1" w:noHBand="0" w:noVBand="0"/>
      </w:tblPr>
      <w:tblGrid>
        <w:gridCol w:w="659"/>
        <w:gridCol w:w="2403"/>
        <w:gridCol w:w="2041"/>
        <w:gridCol w:w="2127"/>
        <w:gridCol w:w="2552"/>
      </w:tblGrid>
      <w:tr w:rsidR="005A1B74" w:rsidRPr="008144B0" w:rsidTr="00621793">
        <w:trPr>
          <w:cnfStyle w:val="100000000000" w:firstRow="1" w:lastRow="0" w:firstColumn="0" w:lastColumn="0" w:oddVBand="0" w:evenVBand="0" w:oddHBand="0" w:evenHBand="0" w:firstRowFirstColumn="0" w:firstRowLastColumn="0" w:lastRowFirstColumn="0" w:lastRowLastColumn="0"/>
          <w:trHeight w:val="581"/>
        </w:trPr>
        <w:tc>
          <w:tcPr>
            <w:cnfStyle w:val="001000000000" w:firstRow="0" w:lastRow="0" w:firstColumn="1" w:lastColumn="0" w:oddVBand="0" w:evenVBand="0" w:oddHBand="0" w:evenHBand="0" w:firstRowFirstColumn="0" w:firstRowLastColumn="0" w:lastRowFirstColumn="0" w:lastRowLastColumn="0"/>
            <w:tcW w:w="659" w:type="dxa"/>
          </w:tcPr>
          <w:p w:rsidR="005A1B74" w:rsidRPr="008144B0" w:rsidRDefault="005A1B74" w:rsidP="002D1E7C">
            <w:pPr>
              <w:jc w:val="center"/>
              <w:rPr>
                <w:rFonts w:asciiTheme="minorHAnsi" w:hAnsiTheme="minorHAnsi" w:cs="Calibri"/>
                <w:color w:val="auto"/>
                <w:sz w:val="20"/>
                <w:szCs w:val="20"/>
                <w:lang w:val="sr-Cyrl-BA"/>
              </w:rPr>
            </w:pPr>
            <w:r w:rsidRPr="008144B0">
              <w:rPr>
                <w:rFonts w:asciiTheme="minorHAnsi" w:hAnsiTheme="minorHAnsi" w:cs="Calibri"/>
                <w:sz w:val="20"/>
                <w:szCs w:val="20"/>
                <w:lang w:val="sr-Cyrl-BA"/>
              </w:rPr>
              <w:t>R. br.</w:t>
            </w:r>
          </w:p>
        </w:tc>
        <w:tc>
          <w:tcPr>
            <w:cnfStyle w:val="000010000000" w:firstRow="0" w:lastRow="0" w:firstColumn="0" w:lastColumn="0" w:oddVBand="1" w:evenVBand="0" w:oddHBand="0" w:evenHBand="0" w:firstRowFirstColumn="0" w:firstRowLastColumn="0" w:lastRowFirstColumn="0" w:lastRowLastColumn="0"/>
            <w:tcW w:w="2403" w:type="dxa"/>
          </w:tcPr>
          <w:p w:rsidR="005A1B74" w:rsidRPr="008144B0" w:rsidRDefault="005A1B74" w:rsidP="002D1E7C">
            <w:pPr>
              <w:jc w:val="center"/>
              <w:rPr>
                <w:rFonts w:asciiTheme="minorHAnsi" w:hAnsiTheme="minorHAnsi"/>
                <w:color w:val="auto"/>
                <w:sz w:val="20"/>
                <w:szCs w:val="20"/>
                <w:lang w:val="sr-Cyrl-BA"/>
              </w:rPr>
            </w:pPr>
            <w:r w:rsidRPr="008144B0">
              <w:rPr>
                <w:rFonts w:asciiTheme="minorHAnsi" w:hAnsiTheme="minorHAnsi"/>
                <w:sz w:val="20"/>
                <w:szCs w:val="20"/>
                <w:lang w:val="sr-Cyrl-BA"/>
              </w:rPr>
              <w:t>Korisnik dozvole/</w:t>
            </w:r>
          </w:p>
          <w:p w:rsidR="005A1B74" w:rsidRPr="008144B0" w:rsidRDefault="005A1B74" w:rsidP="002D1E7C">
            <w:pPr>
              <w:jc w:val="center"/>
              <w:rPr>
                <w:rFonts w:asciiTheme="minorHAnsi" w:hAnsiTheme="minorHAnsi"/>
                <w:color w:val="auto"/>
                <w:sz w:val="20"/>
                <w:szCs w:val="20"/>
                <w:lang w:val="sr-Cyrl-BA"/>
              </w:rPr>
            </w:pPr>
            <w:r w:rsidRPr="008144B0">
              <w:rPr>
                <w:rFonts w:asciiTheme="minorHAnsi" w:hAnsiTheme="minorHAnsi"/>
                <w:sz w:val="20"/>
                <w:szCs w:val="20"/>
                <w:lang w:val="sr-Cyrl-BA"/>
              </w:rPr>
              <w:t>Podnosilac zahtjeva</w:t>
            </w:r>
          </w:p>
        </w:tc>
        <w:tc>
          <w:tcPr>
            <w:tcW w:w="2041" w:type="dxa"/>
          </w:tcPr>
          <w:p w:rsidR="005A1B74" w:rsidRPr="008144B0" w:rsidRDefault="005A1B74" w:rsidP="002D1E7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olor w:val="auto"/>
                <w:sz w:val="20"/>
                <w:szCs w:val="20"/>
                <w:lang w:val="sr-Cyrl-BA"/>
              </w:rPr>
            </w:pPr>
            <w:r w:rsidRPr="008144B0">
              <w:rPr>
                <w:rFonts w:asciiTheme="minorHAnsi" w:hAnsiTheme="minorHAnsi"/>
                <w:sz w:val="20"/>
                <w:szCs w:val="20"/>
                <w:lang w:val="sr-Cyrl-BA"/>
              </w:rPr>
              <w:t>Vrste dozvole</w:t>
            </w:r>
          </w:p>
        </w:tc>
        <w:tc>
          <w:tcPr>
            <w:cnfStyle w:val="000010000000" w:firstRow="0" w:lastRow="0" w:firstColumn="0" w:lastColumn="0" w:oddVBand="1" w:evenVBand="0" w:oddHBand="0" w:evenHBand="0" w:firstRowFirstColumn="0" w:firstRowLastColumn="0" w:lastRowFirstColumn="0" w:lastRowLastColumn="0"/>
            <w:tcW w:w="2127" w:type="dxa"/>
          </w:tcPr>
          <w:p w:rsidR="005A1B74" w:rsidRPr="008144B0" w:rsidRDefault="005A1B74" w:rsidP="002D1E7C">
            <w:pPr>
              <w:jc w:val="center"/>
              <w:rPr>
                <w:rFonts w:asciiTheme="minorHAnsi" w:hAnsiTheme="minorHAnsi"/>
                <w:color w:val="auto"/>
                <w:sz w:val="20"/>
                <w:szCs w:val="20"/>
                <w:lang w:val="sr-Cyrl-BA"/>
              </w:rPr>
            </w:pPr>
            <w:r w:rsidRPr="008144B0">
              <w:rPr>
                <w:rFonts w:asciiTheme="minorHAnsi" w:hAnsiTheme="minorHAnsi"/>
                <w:sz w:val="20"/>
                <w:szCs w:val="20"/>
                <w:lang w:val="sr-Cyrl-BA"/>
              </w:rPr>
              <w:t>Status i period važenja</w:t>
            </w:r>
          </w:p>
        </w:tc>
        <w:tc>
          <w:tcPr>
            <w:cnfStyle w:val="000100000000" w:firstRow="0" w:lastRow="0" w:firstColumn="0" w:lastColumn="1" w:oddVBand="0" w:evenVBand="0" w:oddHBand="0" w:evenHBand="0" w:firstRowFirstColumn="0" w:firstRowLastColumn="0" w:lastRowFirstColumn="0" w:lastRowLastColumn="0"/>
            <w:tcW w:w="2552" w:type="dxa"/>
          </w:tcPr>
          <w:p w:rsidR="005A1B74" w:rsidRPr="008144B0" w:rsidRDefault="005A1B74" w:rsidP="002D1E7C">
            <w:pPr>
              <w:jc w:val="center"/>
              <w:rPr>
                <w:rFonts w:asciiTheme="minorHAnsi" w:hAnsiTheme="minorHAnsi"/>
                <w:color w:val="auto"/>
                <w:sz w:val="20"/>
                <w:szCs w:val="20"/>
                <w:lang w:val="sr-Cyrl-BA"/>
              </w:rPr>
            </w:pPr>
            <w:r w:rsidRPr="008144B0">
              <w:rPr>
                <w:rFonts w:asciiTheme="minorHAnsi" w:hAnsiTheme="minorHAnsi"/>
                <w:sz w:val="20"/>
                <w:szCs w:val="20"/>
                <w:lang w:val="sr-Cyrl-BA"/>
              </w:rPr>
              <w:t>Napomena</w:t>
            </w:r>
          </w:p>
        </w:tc>
      </w:tr>
      <w:tr w:rsidR="005A1B74" w:rsidRPr="008144B0" w:rsidTr="00621793">
        <w:trPr>
          <w:cnfStyle w:val="000000100000" w:firstRow="0" w:lastRow="0" w:firstColumn="0" w:lastColumn="0" w:oddVBand="0" w:evenVBand="0" w:oddHBand="1" w:evenHBand="0" w:firstRowFirstColumn="0" w:firstRowLastColumn="0" w:lastRowFirstColumn="0" w:lastRowLastColumn="0"/>
          <w:trHeight w:val="807"/>
        </w:trPr>
        <w:tc>
          <w:tcPr>
            <w:cnfStyle w:val="001000000000" w:firstRow="0" w:lastRow="0" w:firstColumn="1" w:lastColumn="0" w:oddVBand="0" w:evenVBand="0" w:oddHBand="0" w:evenHBand="0" w:firstRowFirstColumn="0" w:firstRowLastColumn="0" w:lastRowFirstColumn="0" w:lastRowLastColumn="0"/>
            <w:tcW w:w="659" w:type="dxa"/>
          </w:tcPr>
          <w:p w:rsidR="005A1B74" w:rsidRPr="008144B0" w:rsidRDefault="005A1B74" w:rsidP="002D1E7C">
            <w:pPr>
              <w:jc w:val="center"/>
              <w:rPr>
                <w:rFonts w:asciiTheme="minorHAnsi" w:hAnsiTheme="minorHAnsi" w:cs="Calibri"/>
                <w:color w:val="auto"/>
                <w:sz w:val="20"/>
                <w:szCs w:val="20"/>
                <w:lang w:val="sr-Cyrl-BA"/>
              </w:rPr>
            </w:pPr>
            <w:r w:rsidRPr="008144B0">
              <w:rPr>
                <w:rFonts w:asciiTheme="minorHAnsi" w:hAnsiTheme="minorHAnsi" w:cs="Calibri"/>
                <w:sz w:val="20"/>
                <w:szCs w:val="20"/>
                <w:lang w:val="sr-Cyrl-BA"/>
              </w:rPr>
              <w:t>1. *</w:t>
            </w:r>
          </w:p>
        </w:tc>
        <w:tc>
          <w:tcPr>
            <w:cnfStyle w:val="000010000000" w:firstRow="0" w:lastRow="0" w:firstColumn="0" w:lastColumn="0" w:oddVBand="1" w:evenVBand="0" w:oddHBand="0" w:evenHBand="0" w:firstRowFirstColumn="0" w:firstRowLastColumn="0" w:lastRowFirstColumn="0" w:lastRowLastColumn="0"/>
            <w:tcW w:w="2403" w:type="dxa"/>
          </w:tcPr>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lang w:val="sr-Cyrl-BA"/>
              </w:rPr>
              <w:t xml:space="preserve">„NIK-PROM” d.o.o. Bileća </w:t>
            </w:r>
          </w:p>
        </w:tc>
        <w:tc>
          <w:tcPr>
            <w:tcW w:w="2041" w:type="dxa"/>
          </w:tcPr>
          <w:p w:rsidR="005A1B74" w:rsidRPr="008144B0" w:rsidRDefault="005A1B74" w:rsidP="002D1E7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 xml:space="preserve">proizvodnja električne energije </w:t>
            </w:r>
          </w:p>
        </w:tc>
        <w:tc>
          <w:tcPr>
            <w:cnfStyle w:val="000010000000" w:firstRow="0" w:lastRow="0" w:firstColumn="0" w:lastColumn="0" w:oddVBand="1" w:evenVBand="0" w:oddHBand="0" w:evenHBand="0" w:firstRowFirstColumn="0" w:firstRowLastColumn="0" w:lastRowFirstColumn="0" w:lastRowLastColumn="0"/>
            <w:tcW w:w="2127" w:type="dxa"/>
          </w:tcPr>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lang w:val="sr-Cyrl-BA"/>
              </w:rPr>
              <w:t xml:space="preserve">Dozvola izdata </w:t>
            </w:r>
            <w:r w:rsidRPr="008144B0">
              <w:rPr>
                <w:rFonts w:asciiTheme="minorHAnsi" w:hAnsiTheme="minorHAnsi"/>
                <w:sz w:val="20"/>
                <w:szCs w:val="20"/>
                <w:lang w:val="sr-Latn-BA"/>
              </w:rPr>
              <w:t>13</w:t>
            </w:r>
            <w:r w:rsidRPr="008144B0">
              <w:rPr>
                <w:rFonts w:asciiTheme="minorHAnsi" w:hAnsiTheme="minorHAnsi"/>
                <w:sz w:val="20"/>
                <w:szCs w:val="20"/>
                <w:lang w:val="sr-Cyrl-BA"/>
              </w:rPr>
              <w:t>.0</w:t>
            </w:r>
            <w:r w:rsidRPr="008144B0">
              <w:rPr>
                <w:rFonts w:asciiTheme="minorHAnsi" w:hAnsiTheme="minorHAnsi"/>
                <w:sz w:val="20"/>
                <w:szCs w:val="20"/>
                <w:lang w:val="sr-Latn-BA"/>
              </w:rPr>
              <w:t>2</w:t>
            </w:r>
            <w:r w:rsidRPr="008144B0">
              <w:rPr>
                <w:rFonts w:asciiTheme="minorHAnsi" w:hAnsiTheme="minorHAnsi"/>
                <w:sz w:val="20"/>
                <w:szCs w:val="20"/>
                <w:lang w:val="sr-Cyrl-BA"/>
              </w:rPr>
              <w:t xml:space="preserve">.2024. na period od pet godina     </w:t>
            </w:r>
          </w:p>
        </w:tc>
        <w:tc>
          <w:tcPr>
            <w:cnfStyle w:val="000100000000" w:firstRow="0" w:lastRow="0" w:firstColumn="0" w:lastColumn="1" w:oddVBand="0" w:evenVBand="0" w:oddHBand="0" w:evenHBand="0" w:firstRowFirstColumn="0" w:firstRowLastColumn="0" w:lastRowFirstColumn="0" w:lastRowLastColumn="0"/>
            <w:tcW w:w="2552" w:type="dxa"/>
          </w:tcPr>
          <w:p w:rsidR="005A1B74" w:rsidRPr="00621793" w:rsidRDefault="005A1B74" w:rsidP="002D1E7C">
            <w:pPr>
              <w:ind w:left="-93" w:right="-106" w:firstLine="9"/>
              <w:jc w:val="center"/>
              <w:rPr>
                <w:rFonts w:asciiTheme="minorHAnsi" w:hAnsiTheme="minorHAnsi"/>
                <w:b w:val="0"/>
                <w:color w:val="auto"/>
                <w:sz w:val="18"/>
                <w:szCs w:val="18"/>
                <w:lang w:val="sr-Cyrl-BA"/>
              </w:rPr>
            </w:pPr>
            <w:r w:rsidRPr="00621793">
              <w:rPr>
                <w:rFonts w:asciiTheme="minorHAnsi" w:hAnsiTheme="minorHAnsi"/>
                <w:b w:val="0"/>
                <w:sz w:val="18"/>
                <w:szCs w:val="18"/>
                <w:lang w:val="sr-Cyrl-BA"/>
              </w:rPr>
              <w:t>Dozvola izdata prvi put</w:t>
            </w:r>
          </w:p>
          <w:p w:rsidR="005A1B74" w:rsidRPr="00621793" w:rsidRDefault="005A1B74" w:rsidP="002D1E7C">
            <w:pPr>
              <w:jc w:val="center"/>
              <w:rPr>
                <w:rFonts w:asciiTheme="minorHAnsi" w:hAnsiTheme="minorHAnsi"/>
                <w:b w:val="0"/>
                <w:sz w:val="20"/>
                <w:szCs w:val="20"/>
                <w:lang w:val="sr-Cyrl-BA"/>
              </w:rPr>
            </w:pPr>
            <w:r w:rsidRPr="00621793">
              <w:rPr>
                <w:rFonts w:asciiTheme="minorHAnsi" w:hAnsiTheme="minorHAnsi"/>
                <w:b w:val="0"/>
                <w:sz w:val="18"/>
                <w:szCs w:val="18"/>
                <w:lang w:val="sr-Cyrl-BA"/>
              </w:rPr>
              <w:t xml:space="preserve">(dozvola obuhvatila proizvodne objekte   </w:t>
            </w:r>
            <w:r w:rsidRPr="00621793">
              <w:rPr>
                <w:rFonts w:asciiTheme="minorHAnsi" w:hAnsiTheme="minorHAnsi"/>
                <w:b w:val="0"/>
                <w:iCs/>
                <w:sz w:val="18"/>
                <w:szCs w:val="18"/>
                <w:lang w:val="sr-Cyrl-BA"/>
              </w:rPr>
              <w:t>MSE „Obale 1-9“</w:t>
            </w:r>
            <w:r w:rsidRPr="00621793">
              <w:rPr>
                <w:rFonts w:asciiTheme="minorHAnsi" w:hAnsiTheme="minorHAnsi"/>
                <w:b w:val="0"/>
                <w:sz w:val="18"/>
                <w:szCs w:val="18"/>
                <w:lang w:val="sr-Cyrl-BA"/>
              </w:rPr>
              <w:t xml:space="preserve">) </w:t>
            </w:r>
          </w:p>
        </w:tc>
      </w:tr>
      <w:tr w:rsidR="005A1B74" w:rsidRPr="008144B0" w:rsidTr="00621793">
        <w:trPr>
          <w:trHeight w:val="410"/>
        </w:trPr>
        <w:tc>
          <w:tcPr>
            <w:cnfStyle w:val="001000000000" w:firstRow="0" w:lastRow="0" w:firstColumn="1" w:lastColumn="0" w:oddVBand="0" w:evenVBand="0" w:oddHBand="0" w:evenHBand="0" w:firstRowFirstColumn="0" w:firstRowLastColumn="0" w:lastRowFirstColumn="0" w:lastRowLastColumn="0"/>
            <w:tcW w:w="659" w:type="dxa"/>
          </w:tcPr>
          <w:p w:rsidR="005A1B74" w:rsidRPr="008144B0" w:rsidRDefault="005A1B74" w:rsidP="002D1E7C">
            <w:pPr>
              <w:jc w:val="center"/>
              <w:rPr>
                <w:rFonts w:asciiTheme="minorHAnsi" w:hAnsiTheme="minorHAnsi" w:cs="Calibri"/>
                <w:color w:val="auto"/>
                <w:sz w:val="20"/>
                <w:szCs w:val="20"/>
                <w:lang w:val="sr-Cyrl-BA"/>
              </w:rPr>
            </w:pPr>
            <w:r w:rsidRPr="008144B0">
              <w:rPr>
                <w:rFonts w:asciiTheme="minorHAnsi" w:hAnsiTheme="minorHAnsi" w:cs="Calibri"/>
                <w:sz w:val="20"/>
                <w:szCs w:val="20"/>
                <w:lang w:val="sr-Cyrl-BA"/>
              </w:rPr>
              <w:t>2. *</w:t>
            </w:r>
          </w:p>
        </w:tc>
        <w:tc>
          <w:tcPr>
            <w:cnfStyle w:val="000010000000" w:firstRow="0" w:lastRow="0" w:firstColumn="0" w:lastColumn="0" w:oddVBand="1" w:evenVBand="0" w:oddHBand="0" w:evenHBand="0" w:firstRowFirstColumn="0" w:firstRowLastColumn="0" w:lastRowFirstColumn="0" w:lastRowLastColumn="0"/>
            <w:tcW w:w="2403" w:type="dxa"/>
          </w:tcPr>
          <w:p w:rsidR="005A1B74" w:rsidRPr="008144B0" w:rsidRDefault="005A1B74" w:rsidP="002D1E7C">
            <w:pPr>
              <w:jc w:val="center"/>
              <w:rPr>
                <w:rFonts w:asciiTheme="minorHAnsi" w:hAnsiTheme="minorHAnsi"/>
                <w:color w:val="auto"/>
                <w:sz w:val="20"/>
                <w:szCs w:val="20"/>
                <w:lang w:val="sr-Cyrl-BA"/>
              </w:rPr>
            </w:pPr>
            <w:r w:rsidRPr="008144B0">
              <w:rPr>
                <w:rFonts w:asciiTheme="minorHAnsi" w:hAnsiTheme="minorHAnsi"/>
                <w:sz w:val="20"/>
                <w:szCs w:val="20"/>
                <w:lang w:val="sr-Cyrl-BA"/>
              </w:rPr>
              <w:t>"MP PANDUREVIĆ" d.o.o. Modriča</w:t>
            </w:r>
            <w:r w:rsidRPr="008144B0" w:rsidDel="00304E88">
              <w:rPr>
                <w:rFonts w:asciiTheme="minorHAnsi" w:hAnsiTheme="minorHAnsi"/>
                <w:sz w:val="20"/>
                <w:szCs w:val="20"/>
                <w:lang w:val="sr-Cyrl-BA"/>
              </w:rPr>
              <w:t xml:space="preserve"> </w:t>
            </w:r>
          </w:p>
        </w:tc>
        <w:tc>
          <w:tcPr>
            <w:tcW w:w="2041" w:type="dxa"/>
          </w:tcPr>
          <w:p w:rsidR="005A1B74" w:rsidRPr="008144B0" w:rsidRDefault="005A1B74" w:rsidP="002D1E7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olor w:val="auto"/>
                <w:sz w:val="20"/>
                <w:szCs w:val="20"/>
                <w:lang w:val="sr-Cyrl-BA"/>
              </w:rPr>
            </w:pPr>
            <w:r w:rsidRPr="008144B0">
              <w:rPr>
                <w:rFonts w:asciiTheme="minorHAnsi" w:hAnsiTheme="minorHAnsi"/>
                <w:sz w:val="20"/>
                <w:szCs w:val="20"/>
                <w:lang w:val="sr-Cyrl-BA"/>
              </w:rPr>
              <w:t>proizvodnja električne energije</w:t>
            </w:r>
          </w:p>
        </w:tc>
        <w:tc>
          <w:tcPr>
            <w:cnfStyle w:val="000010000000" w:firstRow="0" w:lastRow="0" w:firstColumn="0" w:lastColumn="0" w:oddVBand="1" w:evenVBand="0" w:oddHBand="0" w:evenHBand="0" w:firstRowFirstColumn="0" w:firstRowLastColumn="0" w:lastRowFirstColumn="0" w:lastRowLastColumn="0"/>
            <w:tcW w:w="2127" w:type="dxa"/>
          </w:tcPr>
          <w:p w:rsidR="005A1B74" w:rsidRPr="008144B0" w:rsidRDefault="005A1B74" w:rsidP="002D1E7C">
            <w:pPr>
              <w:jc w:val="center"/>
              <w:rPr>
                <w:rFonts w:asciiTheme="minorHAnsi" w:hAnsiTheme="minorHAnsi"/>
                <w:color w:val="auto"/>
                <w:sz w:val="20"/>
                <w:szCs w:val="20"/>
                <w:lang w:val="sr-Cyrl-BA"/>
              </w:rPr>
            </w:pPr>
            <w:r w:rsidRPr="008144B0">
              <w:rPr>
                <w:rFonts w:asciiTheme="minorHAnsi" w:hAnsiTheme="minorHAnsi"/>
                <w:sz w:val="20"/>
                <w:szCs w:val="20"/>
                <w:lang w:val="sr-Cyrl-BA"/>
              </w:rPr>
              <w:t xml:space="preserve">Zahtjev za izmjenu dozvole podnesen </w:t>
            </w:r>
            <w:r w:rsidRPr="008144B0">
              <w:rPr>
                <w:rFonts w:asciiTheme="minorHAnsi" w:hAnsiTheme="minorHAnsi"/>
                <w:sz w:val="20"/>
                <w:szCs w:val="20"/>
              </w:rPr>
              <w:t>08.11.2023</w:t>
            </w:r>
            <w:r w:rsidRPr="008144B0">
              <w:rPr>
                <w:rFonts w:asciiTheme="minorHAnsi" w:hAnsiTheme="minorHAnsi"/>
                <w:sz w:val="20"/>
                <w:szCs w:val="20"/>
                <w:lang w:val="sr-Cyrl-BA"/>
              </w:rPr>
              <w:t xml:space="preserve">. godine     </w:t>
            </w:r>
          </w:p>
        </w:tc>
        <w:tc>
          <w:tcPr>
            <w:cnfStyle w:val="000100000000" w:firstRow="0" w:lastRow="0" w:firstColumn="0" w:lastColumn="1" w:oddVBand="0" w:evenVBand="0" w:oddHBand="0" w:evenHBand="0" w:firstRowFirstColumn="0" w:firstRowLastColumn="0" w:lastRowFirstColumn="0" w:lastRowLastColumn="0"/>
            <w:tcW w:w="2552" w:type="dxa"/>
          </w:tcPr>
          <w:p w:rsidR="005A1B74" w:rsidRPr="00621793" w:rsidRDefault="005A1B74" w:rsidP="002D1E7C">
            <w:pPr>
              <w:ind w:left="-84" w:right="-95"/>
              <w:jc w:val="center"/>
              <w:rPr>
                <w:rFonts w:asciiTheme="minorHAnsi" w:hAnsiTheme="minorHAnsi"/>
                <w:b w:val="0"/>
                <w:color w:val="auto"/>
                <w:sz w:val="18"/>
                <w:szCs w:val="18"/>
                <w:lang w:val="sr-Cyrl-BA"/>
              </w:rPr>
            </w:pPr>
            <w:r w:rsidRPr="00621793">
              <w:rPr>
                <w:rFonts w:asciiTheme="minorHAnsi" w:hAnsiTheme="minorHAnsi"/>
                <w:b w:val="0"/>
                <w:sz w:val="18"/>
                <w:szCs w:val="18"/>
                <w:lang w:val="sr-Cyrl-BA"/>
              </w:rPr>
              <w:t xml:space="preserve">Rješenjem od </w:t>
            </w:r>
            <w:r w:rsidRPr="00621793">
              <w:rPr>
                <w:rFonts w:asciiTheme="minorHAnsi" w:hAnsiTheme="minorHAnsi"/>
                <w:b w:val="0"/>
                <w:sz w:val="18"/>
                <w:szCs w:val="18"/>
              </w:rPr>
              <w:t>13.02.2024</w:t>
            </w:r>
            <w:r w:rsidRPr="00621793">
              <w:rPr>
                <w:rFonts w:asciiTheme="minorHAnsi" w:hAnsiTheme="minorHAnsi"/>
                <w:b w:val="0"/>
                <w:sz w:val="18"/>
                <w:szCs w:val="18"/>
                <w:lang w:val="sr-Cyrl-BA"/>
              </w:rPr>
              <w:t xml:space="preserve">. godine izmijenjena dozvola </w:t>
            </w:r>
          </w:p>
          <w:p w:rsidR="005A1B74" w:rsidRPr="00621793" w:rsidRDefault="005A1B74" w:rsidP="002D1E7C">
            <w:pPr>
              <w:jc w:val="center"/>
              <w:rPr>
                <w:rFonts w:asciiTheme="minorHAnsi" w:hAnsiTheme="minorHAnsi"/>
                <w:b w:val="0"/>
                <w:color w:val="auto"/>
                <w:sz w:val="20"/>
                <w:szCs w:val="20"/>
                <w:lang w:val="sr-Cyrl-BA"/>
              </w:rPr>
            </w:pPr>
            <w:r w:rsidRPr="00621793">
              <w:rPr>
                <w:rFonts w:asciiTheme="minorHAnsi" w:hAnsiTheme="minorHAnsi"/>
                <w:b w:val="0"/>
                <w:sz w:val="18"/>
                <w:szCs w:val="18"/>
                <w:lang w:val="sr-Cyrl-BA"/>
              </w:rPr>
              <w:t xml:space="preserve">(izmjena dozvole obuhvatila novoizgrađene proizvodne objekte   </w:t>
            </w:r>
            <w:r w:rsidRPr="00621793">
              <w:rPr>
                <w:rFonts w:asciiTheme="minorHAnsi" w:hAnsiTheme="minorHAnsi"/>
                <w:b w:val="0"/>
                <w:iCs/>
                <w:sz w:val="18"/>
                <w:szCs w:val="18"/>
                <w:lang w:val="sr-Cyrl-BA"/>
              </w:rPr>
              <w:t>MSE „Pandurević 3-8</w:t>
            </w:r>
            <w:r w:rsidRPr="00621793">
              <w:rPr>
                <w:rFonts w:asciiTheme="minorHAnsi" w:hAnsiTheme="minorHAnsi"/>
                <w:b w:val="0"/>
                <w:iCs/>
                <w:sz w:val="18"/>
                <w:szCs w:val="18"/>
              </w:rPr>
              <w:t>"</w:t>
            </w:r>
            <w:r w:rsidRPr="00621793">
              <w:rPr>
                <w:rFonts w:asciiTheme="minorHAnsi" w:hAnsiTheme="minorHAnsi"/>
                <w:b w:val="0"/>
                <w:sz w:val="18"/>
                <w:szCs w:val="18"/>
                <w:lang w:val="sr-Cyrl-BA"/>
              </w:rPr>
              <w:t>)</w:t>
            </w:r>
          </w:p>
        </w:tc>
      </w:tr>
      <w:tr w:rsidR="005A1B74" w:rsidRPr="008144B0" w:rsidTr="00621793">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659" w:type="dxa"/>
          </w:tcPr>
          <w:p w:rsidR="005A1B74" w:rsidRPr="008144B0" w:rsidRDefault="005A1B74" w:rsidP="002D1E7C">
            <w:pPr>
              <w:jc w:val="center"/>
              <w:rPr>
                <w:rFonts w:asciiTheme="minorHAnsi" w:hAnsiTheme="minorHAnsi" w:cs="Calibri"/>
                <w:color w:val="auto"/>
                <w:sz w:val="20"/>
                <w:szCs w:val="20"/>
                <w:lang w:val="sr-Cyrl-BA"/>
              </w:rPr>
            </w:pPr>
            <w:r w:rsidRPr="008144B0">
              <w:rPr>
                <w:rFonts w:asciiTheme="minorHAnsi" w:hAnsiTheme="minorHAnsi" w:cs="Calibri"/>
                <w:sz w:val="20"/>
                <w:szCs w:val="20"/>
                <w:lang w:val="sr-Cyrl-BA"/>
              </w:rPr>
              <w:t>3. *</w:t>
            </w:r>
          </w:p>
        </w:tc>
        <w:tc>
          <w:tcPr>
            <w:cnfStyle w:val="000010000000" w:firstRow="0" w:lastRow="0" w:firstColumn="0" w:lastColumn="0" w:oddVBand="1" w:evenVBand="0" w:oddHBand="0" w:evenHBand="0" w:firstRowFirstColumn="0" w:firstRowLastColumn="0" w:lastRowFirstColumn="0" w:lastRowLastColumn="0"/>
            <w:tcW w:w="2403" w:type="dxa"/>
          </w:tcPr>
          <w:p w:rsidR="005A1B74" w:rsidRPr="008144B0" w:rsidRDefault="005A1B74" w:rsidP="002D1E7C">
            <w:pPr>
              <w:jc w:val="center"/>
              <w:rPr>
                <w:rFonts w:asciiTheme="minorHAnsi" w:hAnsiTheme="minorHAnsi"/>
                <w:color w:val="auto"/>
                <w:sz w:val="20"/>
                <w:szCs w:val="20"/>
                <w:lang w:val="sr-Cyrl-BA"/>
              </w:rPr>
            </w:pPr>
            <w:r w:rsidRPr="008144B0">
              <w:rPr>
                <w:rFonts w:asciiTheme="minorHAnsi" w:hAnsiTheme="minorHAnsi"/>
                <w:sz w:val="20"/>
                <w:szCs w:val="20"/>
                <w:lang w:val="sr-Cyrl-BA"/>
              </w:rPr>
              <w:t>„T-Solar” d.o.o. Bileća</w:t>
            </w:r>
          </w:p>
        </w:tc>
        <w:tc>
          <w:tcPr>
            <w:tcW w:w="2041" w:type="dxa"/>
          </w:tcPr>
          <w:p w:rsidR="005A1B74" w:rsidRPr="008144B0" w:rsidRDefault="005A1B74" w:rsidP="002D1E7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olor w:val="auto"/>
                <w:sz w:val="20"/>
                <w:szCs w:val="20"/>
                <w:lang w:val="sr-Cyrl-BA"/>
              </w:rPr>
            </w:pPr>
            <w:r w:rsidRPr="008144B0">
              <w:rPr>
                <w:rFonts w:asciiTheme="minorHAnsi" w:hAnsiTheme="minorHAnsi"/>
                <w:sz w:val="20"/>
                <w:szCs w:val="20"/>
                <w:lang w:val="sr-Cyrl-BA"/>
              </w:rPr>
              <w:t>proizvodnja električne energije</w:t>
            </w:r>
          </w:p>
        </w:tc>
        <w:tc>
          <w:tcPr>
            <w:cnfStyle w:val="000010000000" w:firstRow="0" w:lastRow="0" w:firstColumn="0" w:lastColumn="0" w:oddVBand="1" w:evenVBand="0" w:oddHBand="0" w:evenHBand="0" w:firstRowFirstColumn="0" w:firstRowLastColumn="0" w:lastRowFirstColumn="0" w:lastRowLastColumn="0"/>
            <w:tcW w:w="2127" w:type="dxa"/>
          </w:tcPr>
          <w:p w:rsidR="005A1B74" w:rsidRPr="008144B0" w:rsidRDefault="005A1B74" w:rsidP="002D1E7C">
            <w:pPr>
              <w:jc w:val="center"/>
              <w:rPr>
                <w:rFonts w:asciiTheme="minorHAnsi" w:hAnsiTheme="minorHAnsi"/>
                <w:color w:val="auto"/>
                <w:sz w:val="20"/>
                <w:szCs w:val="20"/>
                <w:lang w:val="sr-Cyrl-BA"/>
              </w:rPr>
            </w:pPr>
            <w:r w:rsidRPr="008144B0">
              <w:rPr>
                <w:rFonts w:asciiTheme="minorHAnsi" w:hAnsiTheme="minorHAnsi"/>
                <w:sz w:val="20"/>
                <w:szCs w:val="20"/>
                <w:lang w:val="sr-Cyrl-BA"/>
              </w:rPr>
              <w:t xml:space="preserve">Dozvola izdata </w:t>
            </w:r>
            <w:r w:rsidRPr="008144B0">
              <w:rPr>
                <w:rFonts w:asciiTheme="minorHAnsi" w:hAnsiTheme="minorHAnsi"/>
                <w:sz w:val="20"/>
                <w:szCs w:val="20"/>
                <w:lang w:val="sr-Latn-BA"/>
              </w:rPr>
              <w:t>22</w:t>
            </w:r>
            <w:r w:rsidRPr="008144B0">
              <w:rPr>
                <w:rFonts w:asciiTheme="minorHAnsi" w:hAnsiTheme="minorHAnsi"/>
                <w:sz w:val="20"/>
                <w:szCs w:val="20"/>
                <w:lang w:val="sr-Cyrl-BA"/>
              </w:rPr>
              <w:t>.0</w:t>
            </w:r>
            <w:r w:rsidRPr="008144B0">
              <w:rPr>
                <w:rFonts w:asciiTheme="minorHAnsi" w:hAnsiTheme="minorHAnsi"/>
                <w:sz w:val="20"/>
                <w:szCs w:val="20"/>
                <w:lang w:val="sr-Latn-BA"/>
              </w:rPr>
              <w:t>2</w:t>
            </w:r>
            <w:r w:rsidRPr="008144B0">
              <w:rPr>
                <w:rFonts w:asciiTheme="minorHAnsi" w:hAnsiTheme="minorHAnsi"/>
                <w:sz w:val="20"/>
                <w:szCs w:val="20"/>
                <w:lang w:val="sr-Cyrl-BA"/>
              </w:rPr>
              <w:t xml:space="preserve">.2024. na period od pet godina     </w:t>
            </w:r>
          </w:p>
        </w:tc>
        <w:tc>
          <w:tcPr>
            <w:cnfStyle w:val="000100000000" w:firstRow="0" w:lastRow="0" w:firstColumn="0" w:lastColumn="1" w:oddVBand="0" w:evenVBand="0" w:oddHBand="0" w:evenHBand="0" w:firstRowFirstColumn="0" w:firstRowLastColumn="0" w:lastRowFirstColumn="0" w:lastRowLastColumn="0"/>
            <w:tcW w:w="2552" w:type="dxa"/>
          </w:tcPr>
          <w:p w:rsidR="005A1B74" w:rsidRPr="00621793" w:rsidRDefault="005A1B74" w:rsidP="002D1E7C">
            <w:pPr>
              <w:ind w:left="-93" w:right="-106" w:firstLine="9"/>
              <w:jc w:val="center"/>
              <w:rPr>
                <w:rFonts w:asciiTheme="minorHAnsi" w:hAnsiTheme="minorHAnsi"/>
                <w:b w:val="0"/>
                <w:color w:val="auto"/>
                <w:sz w:val="18"/>
                <w:szCs w:val="18"/>
                <w:lang w:val="sr-Cyrl-BA"/>
              </w:rPr>
            </w:pPr>
            <w:r w:rsidRPr="00621793">
              <w:rPr>
                <w:rFonts w:asciiTheme="minorHAnsi" w:hAnsiTheme="minorHAnsi"/>
                <w:b w:val="0"/>
                <w:sz w:val="18"/>
                <w:szCs w:val="18"/>
                <w:lang w:val="sr-Cyrl-BA"/>
              </w:rPr>
              <w:t>Dozvola izdata prvi put</w:t>
            </w:r>
          </w:p>
          <w:p w:rsidR="005A1B74" w:rsidRPr="00621793" w:rsidRDefault="005A1B74" w:rsidP="002D1E7C">
            <w:pPr>
              <w:jc w:val="center"/>
              <w:rPr>
                <w:rFonts w:asciiTheme="minorHAnsi" w:hAnsiTheme="minorHAnsi"/>
                <w:b w:val="0"/>
                <w:color w:val="auto"/>
                <w:sz w:val="20"/>
                <w:szCs w:val="20"/>
                <w:lang w:val="sr-Cyrl-BA"/>
              </w:rPr>
            </w:pPr>
            <w:r w:rsidRPr="00621793" w:rsidDel="009D1977">
              <w:rPr>
                <w:rFonts w:asciiTheme="minorHAnsi" w:hAnsiTheme="minorHAnsi"/>
                <w:b w:val="0"/>
                <w:sz w:val="18"/>
                <w:szCs w:val="18"/>
                <w:lang w:val="sr-Cyrl-BA"/>
              </w:rPr>
              <w:t xml:space="preserve"> </w:t>
            </w:r>
            <w:r w:rsidRPr="00621793">
              <w:rPr>
                <w:rFonts w:asciiTheme="minorHAnsi" w:hAnsiTheme="minorHAnsi"/>
                <w:b w:val="0"/>
                <w:sz w:val="18"/>
                <w:szCs w:val="18"/>
                <w:lang w:val="sr-Cyrl-BA"/>
              </w:rPr>
              <w:t xml:space="preserve">(dozvola obuhvatila proizvodne objekte   </w:t>
            </w:r>
            <w:r w:rsidRPr="00621793">
              <w:rPr>
                <w:rFonts w:asciiTheme="minorHAnsi" w:hAnsiTheme="minorHAnsi"/>
                <w:b w:val="0"/>
                <w:iCs/>
                <w:sz w:val="18"/>
                <w:szCs w:val="18"/>
                <w:lang w:val="sr-Cyrl-BA"/>
              </w:rPr>
              <w:t>MSE „Torine 1-10“</w:t>
            </w:r>
            <w:r w:rsidRPr="00621793">
              <w:rPr>
                <w:rFonts w:asciiTheme="minorHAnsi" w:hAnsiTheme="minorHAnsi"/>
                <w:b w:val="0"/>
                <w:sz w:val="18"/>
                <w:szCs w:val="18"/>
                <w:lang w:val="sr-Cyrl-BA"/>
              </w:rPr>
              <w:t>)</w:t>
            </w:r>
          </w:p>
        </w:tc>
      </w:tr>
      <w:tr w:rsidR="005A1B74" w:rsidRPr="008144B0" w:rsidTr="00621793">
        <w:trPr>
          <w:trHeight w:val="551"/>
        </w:trPr>
        <w:tc>
          <w:tcPr>
            <w:cnfStyle w:val="001000000000" w:firstRow="0" w:lastRow="0" w:firstColumn="1" w:lastColumn="0" w:oddVBand="0" w:evenVBand="0" w:oddHBand="0" w:evenHBand="0" w:firstRowFirstColumn="0" w:firstRowLastColumn="0" w:lastRowFirstColumn="0" w:lastRowLastColumn="0"/>
            <w:tcW w:w="659" w:type="dxa"/>
          </w:tcPr>
          <w:p w:rsidR="005A1B74" w:rsidRPr="008144B0" w:rsidRDefault="005A1B74" w:rsidP="002D1E7C">
            <w:pPr>
              <w:jc w:val="center"/>
              <w:rPr>
                <w:rFonts w:asciiTheme="minorHAnsi" w:hAnsiTheme="minorHAnsi" w:cs="Calibri"/>
                <w:color w:val="auto"/>
                <w:sz w:val="20"/>
                <w:szCs w:val="20"/>
                <w:lang w:val="sr-Cyrl-BA"/>
              </w:rPr>
            </w:pPr>
            <w:r w:rsidRPr="008144B0">
              <w:rPr>
                <w:rFonts w:asciiTheme="minorHAnsi" w:hAnsiTheme="minorHAnsi" w:cs="Calibri"/>
                <w:sz w:val="20"/>
                <w:szCs w:val="20"/>
                <w:lang w:val="sr-Cyrl-BA"/>
              </w:rPr>
              <w:t>4. *</w:t>
            </w:r>
          </w:p>
        </w:tc>
        <w:tc>
          <w:tcPr>
            <w:cnfStyle w:val="000010000000" w:firstRow="0" w:lastRow="0" w:firstColumn="0" w:lastColumn="0" w:oddVBand="1" w:evenVBand="0" w:oddHBand="0" w:evenHBand="0" w:firstRowFirstColumn="0" w:firstRowLastColumn="0" w:lastRowFirstColumn="0" w:lastRowLastColumn="0"/>
            <w:tcW w:w="2403" w:type="dxa"/>
          </w:tcPr>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lang w:val="sr-Cyrl-BA"/>
              </w:rPr>
              <w:t>Mesna industrija "TULUMOVIĆ" d.o.o. Laktaši</w:t>
            </w:r>
          </w:p>
        </w:tc>
        <w:tc>
          <w:tcPr>
            <w:tcW w:w="2041" w:type="dxa"/>
          </w:tcPr>
          <w:p w:rsidR="005A1B74" w:rsidRPr="008144B0" w:rsidRDefault="005A1B74" w:rsidP="002D1E7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proizvodnja električne energije</w:t>
            </w:r>
          </w:p>
        </w:tc>
        <w:tc>
          <w:tcPr>
            <w:cnfStyle w:val="000010000000" w:firstRow="0" w:lastRow="0" w:firstColumn="0" w:lastColumn="0" w:oddVBand="1" w:evenVBand="0" w:oddHBand="0" w:evenHBand="0" w:firstRowFirstColumn="0" w:firstRowLastColumn="0" w:lastRowFirstColumn="0" w:lastRowLastColumn="0"/>
            <w:tcW w:w="2127" w:type="dxa"/>
          </w:tcPr>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lang w:val="sr-Cyrl-BA"/>
              </w:rPr>
              <w:t xml:space="preserve">Dozvola izdata </w:t>
            </w:r>
            <w:r w:rsidRPr="008144B0">
              <w:rPr>
                <w:rFonts w:asciiTheme="minorHAnsi" w:hAnsiTheme="minorHAnsi"/>
                <w:sz w:val="20"/>
                <w:szCs w:val="20"/>
                <w:lang w:val="sr-Latn-BA"/>
              </w:rPr>
              <w:t>21</w:t>
            </w:r>
            <w:r w:rsidRPr="008144B0">
              <w:rPr>
                <w:rFonts w:asciiTheme="minorHAnsi" w:hAnsiTheme="minorHAnsi"/>
                <w:sz w:val="20"/>
                <w:szCs w:val="20"/>
                <w:lang w:val="sr-Cyrl-BA"/>
              </w:rPr>
              <w:t>.0</w:t>
            </w:r>
            <w:r w:rsidRPr="008144B0">
              <w:rPr>
                <w:rFonts w:asciiTheme="minorHAnsi" w:hAnsiTheme="minorHAnsi"/>
                <w:sz w:val="20"/>
                <w:szCs w:val="20"/>
                <w:lang w:val="sr-Latn-BA"/>
              </w:rPr>
              <w:t>5</w:t>
            </w:r>
            <w:r w:rsidRPr="008144B0">
              <w:rPr>
                <w:rFonts w:asciiTheme="minorHAnsi" w:hAnsiTheme="minorHAnsi"/>
                <w:sz w:val="20"/>
                <w:szCs w:val="20"/>
                <w:lang w:val="sr-Cyrl-BA"/>
              </w:rPr>
              <w:t xml:space="preserve">.2024. na period od pet godina </w:t>
            </w:r>
          </w:p>
        </w:tc>
        <w:tc>
          <w:tcPr>
            <w:cnfStyle w:val="000100000000" w:firstRow="0" w:lastRow="0" w:firstColumn="0" w:lastColumn="1" w:oddVBand="0" w:evenVBand="0" w:oddHBand="0" w:evenHBand="0" w:firstRowFirstColumn="0" w:firstRowLastColumn="0" w:lastRowFirstColumn="0" w:lastRowLastColumn="0"/>
            <w:tcW w:w="2552" w:type="dxa"/>
          </w:tcPr>
          <w:p w:rsidR="005A1B74" w:rsidRPr="00621793" w:rsidRDefault="005A1B74" w:rsidP="002D1E7C">
            <w:pPr>
              <w:jc w:val="center"/>
              <w:rPr>
                <w:rFonts w:asciiTheme="minorHAnsi" w:hAnsiTheme="minorHAnsi"/>
                <w:b w:val="0"/>
                <w:sz w:val="18"/>
                <w:szCs w:val="18"/>
                <w:lang w:val="sr-Cyrl-BA"/>
              </w:rPr>
            </w:pPr>
            <w:r w:rsidRPr="00621793">
              <w:rPr>
                <w:rFonts w:asciiTheme="minorHAnsi" w:hAnsiTheme="minorHAnsi"/>
                <w:b w:val="0"/>
                <w:sz w:val="18"/>
                <w:szCs w:val="18"/>
                <w:lang w:val="sr-Cyrl-BA"/>
              </w:rPr>
              <w:t>Dozvola izdata</w:t>
            </w:r>
            <w:r w:rsidRPr="00621793">
              <w:rPr>
                <w:rFonts w:asciiTheme="minorHAnsi" w:hAnsiTheme="minorHAnsi"/>
                <w:b w:val="0"/>
                <w:sz w:val="18"/>
                <w:szCs w:val="18"/>
                <w:lang w:val="sr-Latn-BA"/>
              </w:rPr>
              <w:t xml:space="preserve"> </w:t>
            </w:r>
            <w:r w:rsidRPr="00621793">
              <w:rPr>
                <w:rFonts w:asciiTheme="minorHAnsi" w:hAnsiTheme="minorHAnsi"/>
                <w:b w:val="0"/>
                <w:sz w:val="18"/>
                <w:szCs w:val="18"/>
                <w:lang w:val="sr-Cyrl-BA"/>
              </w:rPr>
              <w:t>prvi put</w:t>
            </w:r>
          </w:p>
          <w:p w:rsidR="005A1B74" w:rsidRPr="00621793" w:rsidRDefault="005A1B74" w:rsidP="002D1E7C">
            <w:pPr>
              <w:jc w:val="center"/>
              <w:rPr>
                <w:rFonts w:asciiTheme="minorHAnsi" w:hAnsiTheme="minorHAnsi"/>
                <w:b w:val="0"/>
                <w:sz w:val="20"/>
                <w:szCs w:val="20"/>
                <w:lang w:val="sr-Cyrl-BA"/>
              </w:rPr>
            </w:pPr>
            <w:r w:rsidRPr="00621793">
              <w:rPr>
                <w:rFonts w:asciiTheme="minorHAnsi" w:hAnsiTheme="minorHAnsi"/>
                <w:b w:val="0"/>
                <w:sz w:val="18"/>
                <w:szCs w:val="18"/>
                <w:lang w:val="sr-Cyrl-BA"/>
              </w:rPr>
              <w:t xml:space="preserve"> (dozvola obuhvatila proizvodne objekte   </w:t>
            </w:r>
            <w:r w:rsidRPr="00621793">
              <w:rPr>
                <w:rFonts w:asciiTheme="minorHAnsi" w:hAnsiTheme="minorHAnsi"/>
                <w:b w:val="0"/>
                <w:iCs/>
                <w:sz w:val="18"/>
                <w:szCs w:val="18"/>
                <w:lang w:val="sr-Cyrl-BA"/>
              </w:rPr>
              <w:t>MSE „Tulumović 1 i 2“)</w:t>
            </w:r>
          </w:p>
        </w:tc>
      </w:tr>
      <w:tr w:rsidR="005A1B74" w:rsidRPr="008144B0" w:rsidTr="00621793">
        <w:trPr>
          <w:cnfStyle w:val="000000100000" w:firstRow="0" w:lastRow="0" w:firstColumn="0" w:lastColumn="0" w:oddVBand="0" w:evenVBand="0" w:oddHBand="1" w:evenHBand="0" w:firstRowFirstColumn="0" w:firstRowLastColumn="0" w:lastRowFirstColumn="0" w:lastRowLastColumn="0"/>
          <w:trHeight w:val="807"/>
        </w:trPr>
        <w:tc>
          <w:tcPr>
            <w:cnfStyle w:val="001000000000" w:firstRow="0" w:lastRow="0" w:firstColumn="1" w:lastColumn="0" w:oddVBand="0" w:evenVBand="0" w:oddHBand="0" w:evenHBand="0" w:firstRowFirstColumn="0" w:firstRowLastColumn="0" w:lastRowFirstColumn="0" w:lastRowLastColumn="0"/>
            <w:tcW w:w="659" w:type="dxa"/>
          </w:tcPr>
          <w:p w:rsidR="005A1B74" w:rsidRPr="008144B0" w:rsidRDefault="005A1B74" w:rsidP="002D1E7C">
            <w:pPr>
              <w:jc w:val="center"/>
              <w:rPr>
                <w:rFonts w:asciiTheme="minorHAnsi" w:hAnsiTheme="minorHAnsi" w:cs="Calibri"/>
                <w:color w:val="auto"/>
                <w:sz w:val="20"/>
                <w:szCs w:val="20"/>
                <w:lang w:val="sr-Cyrl-BA"/>
              </w:rPr>
            </w:pPr>
            <w:r w:rsidRPr="008144B0">
              <w:rPr>
                <w:rFonts w:asciiTheme="minorHAnsi" w:hAnsiTheme="minorHAnsi" w:cs="Calibri"/>
                <w:sz w:val="20"/>
                <w:szCs w:val="20"/>
                <w:lang w:val="sr-Cyrl-BA"/>
              </w:rPr>
              <w:t>5. *</w:t>
            </w:r>
          </w:p>
        </w:tc>
        <w:tc>
          <w:tcPr>
            <w:cnfStyle w:val="000010000000" w:firstRow="0" w:lastRow="0" w:firstColumn="0" w:lastColumn="0" w:oddVBand="1" w:evenVBand="0" w:oddHBand="0" w:evenHBand="0" w:firstRowFirstColumn="0" w:firstRowLastColumn="0" w:lastRowFirstColumn="0" w:lastRowLastColumn="0"/>
            <w:tcW w:w="2403" w:type="dxa"/>
          </w:tcPr>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lang w:val="sr-Cyrl-BA"/>
              </w:rPr>
              <w:t>''CAS'' d.o.o. Priboj</w:t>
            </w:r>
          </w:p>
        </w:tc>
        <w:tc>
          <w:tcPr>
            <w:tcW w:w="2041" w:type="dxa"/>
          </w:tcPr>
          <w:p w:rsidR="005A1B74" w:rsidRPr="008144B0" w:rsidRDefault="005A1B74" w:rsidP="002D1E7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proizvodnja električne energije</w:t>
            </w:r>
          </w:p>
        </w:tc>
        <w:tc>
          <w:tcPr>
            <w:cnfStyle w:val="000010000000" w:firstRow="0" w:lastRow="0" w:firstColumn="0" w:lastColumn="0" w:oddVBand="1" w:evenVBand="0" w:oddHBand="0" w:evenHBand="0" w:firstRowFirstColumn="0" w:firstRowLastColumn="0" w:lastRowFirstColumn="0" w:lastRowLastColumn="0"/>
            <w:tcW w:w="2127" w:type="dxa"/>
          </w:tcPr>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lang w:val="sr-Cyrl-BA"/>
              </w:rPr>
              <w:t xml:space="preserve">Zahtjev za izmjenu dozvole podnesen </w:t>
            </w:r>
            <w:r w:rsidRPr="008144B0">
              <w:rPr>
                <w:rFonts w:asciiTheme="minorHAnsi" w:hAnsiTheme="minorHAnsi"/>
                <w:sz w:val="20"/>
                <w:szCs w:val="20"/>
              </w:rPr>
              <w:t>02.04.2024</w:t>
            </w:r>
            <w:r w:rsidRPr="008144B0">
              <w:rPr>
                <w:rFonts w:asciiTheme="minorHAnsi" w:hAnsiTheme="minorHAnsi"/>
                <w:sz w:val="20"/>
                <w:szCs w:val="20"/>
                <w:lang w:val="sr-Cyrl-BA"/>
              </w:rPr>
              <w:t xml:space="preserve">. godine     </w:t>
            </w:r>
          </w:p>
        </w:tc>
        <w:tc>
          <w:tcPr>
            <w:cnfStyle w:val="000100000000" w:firstRow="0" w:lastRow="0" w:firstColumn="0" w:lastColumn="1" w:oddVBand="0" w:evenVBand="0" w:oddHBand="0" w:evenHBand="0" w:firstRowFirstColumn="0" w:firstRowLastColumn="0" w:lastRowFirstColumn="0" w:lastRowLastColumn="0"/>
            <w:tcW w:w="2552" w:type="dxa"/>
          </w:tcPr>
          <w:p w:rsidR="005A1B74" w:rsidRPr="00621793" w:rsidRDefault="005A1B74" w:rsidP="002D1E7C">
            <w:pPr>
              <w:ind w:left="-84" w:right="-95"/>
              <w:jc w:val="center"/>
              <w:rPr>
                <w:rFonts w:asciiTheme="minorHAnsi" w:hAnsiTheme="minorHAnsi"/>
                <w:b w:val="0"/>
                <w:color w:val="auto"/>
                <w:sz w:val="18"/>
                <w:szCs w:val="18"/>
                <w:lang w:val="sr-Cyrl-BA"/>
              </w:rPr>
            </w:pPr>
            <w:r w:rsidRPr="00621793">
              <w:rPr>
                <w:rFonts w:asciiTheme="minorHAnsi" w:hAnsiTheme="minorHAnsi"/>
                <w:b w:val="0"/>
                <w:sz w:val="18"/>
                <w:szCs w:val="18"/>
                <w:lang w:val="sr-Cyrl-BA"/>
              </w:rPr>
              <w:t xml:space="preserve">Rješenjem od </w:t>
            </w:r>
            <w:r w:rsidRPr="00621793">
              <w:rPr>
                <w:rFonts w:asciiTheme="minorHAnsi" w:hAnsiTheme="minorHAnsi"/>
                <w:b w:val="0"/>
                <w:sz w:val="18"/>
                <w:szCs w:val="18"/>
              </w:rPr>
              <w:t>31.05.2024</w:t>
            </w:r>
            <w:r w:rsidRPr="00621793">
              <w:rPr>
                <w:rFonts w:asciiTheme="minorHAnsi" w:hAnsiTheme="minorHAnsi"/>
                <w:b w:val="0"/>
                <w:sz w:val="18"/>
                <w:szCs w:val="18"/>
                <w:lang w:val="sr-Cyrl-BA"/>
              </w:rPr>
              <w:t xml:space="preserve">. godine izmijenjena dozvola </w:t>
            </w:r>
          </w:p>
          <w:p w:rsidR="005A1B74" w:rsidRPr="00621793" w:rsidRDefault="005A1B74" w:rsidP="002D1E7C">
            <w:pPr>
              <w:ind w:left="-93" w:right="-106" w:firstLine="93"/>
              <w:jc w:val="center"/>
              <w:rPr>
                <w:rFonts w:asciiTheme="minorHAnsi" w:hAnsiTheme="minorHAnsi"/>
                <w:b w:val="0"/>
                <w:sz w:val="20"/>
                <w:szCs w:val="20"/>
                <w:lang w:val="sr-Cyrl-BA"/>
              </w:rPr>
            </w:pPr>
            <w:r w:rsidRPr="00621793">
              <w:rPr>
                <w:rFonts w:asciiTheme="minorHAnsi" w:hAnsiTheme="minorHAnsi"/>
                <w:b w:val="0"/>
                <w:sz w:val="18"/>
                <w:szCs w:val="18"/>
                <w:lang w:val="sr-Cyrl-BA"/>
              </w:rPr>
              <w:t xml:space="preserve">(izmjena dozvole obuhvatila rekonstruisan i dograđen </w:t>
            </w:r>
            <w:r w:rsidRPr="00621793">
              <w:rPr>
                <w:rFonts w:asciiTheme="minorHAnsi" w:hAnsiTheme="minorHAnsi"/>
                <w:b w:val="0"/>
                <w:iCs/>
                <w:sz w:val="18"/>
                <w:szCs w:val="18"/>
                <w:lang w:val="sr-Cyrl-BA"/>
              </w:rPr>
              <w:t xml:space="preserve">MHE </w:t>
            </w:r>
            <w:r w:rsidRPr="00621793">
              <w:rPr>
                <w:rFonts w:asciiTheme="minorHAnsi" w:hAnsiTheme="minorHAnsi"/>
                <w:b w:val="0"/>
                <w:iCs/>
                <w:sz w:val="18"/>
                <w:szCs w:val="18"/>
              </w:rPr>
              <w:t>"</w:t>
            </w:r>
            <w:r w:rsidRPr="00621793">
              <w:rPr>
                <w:rFonts w:asciiTheme="minorHAnsi" w:hAnsiTheme="minorHAnsi"/>
                <w:b w:val="0"/>
                <w:iCs/>
                <w:sz w:val="18"/>
                <w:szCs w:val="18"/>
                <w:lang w:val="sr-Cyrl-BA"/>
              </w:rPr>
              <w:t>Krupac</w:t>
            </w:r>
            <w:r w:rsidRPr="00621793">
              <w:rPr>
                <w:rFonts w:asciiTheme="minorHAnsi" w:hAnsiTheme="minorHAnsi"/>
                <w:b w:val="0"/>
                <w:iCs/>
                <w:sz w:val="18"/>
                <w:szCs w:val="18"/>
              </w:rPr>
              <w:t xml:space="preserve">" </w:t>
            </w:r>
            <w:r w:rsidRPr="00621793">
              <w:rPr>
                <w:rFonts w:asciiTheme="minorHAnsi" w:hAnsiTheme="minorHAnsi"/>
                <w:b w:val="0"/>
                <w:iCs/>
                <w:sz w:val="18"/>
                <w:szCs w:val="18"/>
                <w:lang w:val="sr-Cyrl-BA"/>
              </w:rPr>
              <w:t>i</w:t>
            </w:r>
            <w:r w:rsidRPr="00621793">
              <w:rPr>
                <w:rFonts w:asciiTheme="minorHAnsi" w:hAnsiTheme="minorHAnsi"/>
                <w:b w:val="0"/>
                <w:iCs/>
                <w:sz w:val="18"/>
                <w:szCs w:val="18"/>
              </w:rPr>
              <w:t xml:space="preserve"> </w:t>
            </w:r>
            <w:r w:rsidRPr="00621793">
              <w:rPr>
                <w:rFonts w:asciiTheme="minorHAnsi" w:hAnsiTheme="minorHAnsi"/>
                <w:b w:val="0"/>
                <w:iCs/>
                <w:sz w:val="18"/>
                <w:szCs w:val="18"/>
                <w:lang w:val="sr-Cyrl-BA"/>
              </w:rPr>
              <w:t xml:space="preserve">novoizgrađenu FSE </w:t>
            </w:r>
            <w:r w:rsidRPr="00621793">
              <w:rPr>
                <w:rFonts w:asciiTheme="minorHAnsi" w:hAnsiTheme="minorHAnsi"/>
                <w:b w:val="0"/>
                <w:iCs/>
                <w:sz w:val="18"/>
                <w:szCs w:val="18"/>
              </w:rPr>
              <w:t>"</w:t>
            </w:r>
            <w:r w:rsidRPr="00621793">
              <w:rPr>
                <w:rFonts w:asciiTheme="minorHAnsi" w:hAnsiTheme="minorHAnsi"/>
                <w:b w:val="0"/>
                <w:iCs/>
                <w:sz w:val="18"/>
                <w:szCs w:val="18"/>
                <w:lang w:val="sr-Cyrl-BA"/>
              </w:rPr>
              <w:t>Solar Priboj 1</w:t>
            </w:r>
            <w:r w:rsidRPr="00621793">
              <w:rPr>
                <w:rFonts w:asciiTheme="minorHAnsi" w:hAnsiTheme="minorHAnsi"/>
                <w:b w:val="0"/>
                <w:iCs/>
                <w:sz w:val="18"/>
                <w:szCs w:val="18"/>
              </w:rPr>
              <w:t>"</w:t>
            </w:r>
            <w:r w:rsidRPr="00621793">
              <w:rPr>
                <w:rFonts w:asciiTheme="minorHAnsi" w:hAnsiTheme="minorHAnsi"/>
                <w:b w:val="0"/>
                <w:sz w:val="18"/>
                <w:szCs w:val="18"/>
                <w:lang w:val="sr-Cyrl-BA"/>
              </w:rPr>
              <w:t>)</w:t>
            </w:r>
          </w:p>
        </w:tc>
      </w:tr>
      <w:tr w:rsidR="005A1B74" w:rsidRPr="008144B0" w:rsidTr="00621793">
        <w:trPr>
          <w:trHeight w:val="807"/>
        </w:trPr>
        <w:tc>
          <w:tcPr>
            <w:cnfStyle w:val="001000000000" w:firstRow="0" w:lastRow="0" w:firstColumn="1" w:lastColumn="0" w:oddVBand="0" w:evenVBand="0" w:oddHBand="0" w:evenHBand="0" w:firstRowFirstColumn="0" w:firstRowLastColumn="0" w:lastRowFirstColumn="0" w:lastRowLastColumn="0"/>
            <w:tcW w:w="659" w:type="dxa"/>
          </w:tcPr>
          <w:p w:rsidR="005A1B74" w:rsidRPr="008144B0" w:rsidRDefault="005A1B74" w:rsidP="002D1E7C">
            <w:pPr>
              <w:jc w:val="center"/>
              <w:rPr>
                <w:rFonts w:asciiTheme="minorHAnsi" w:hAnsiTheme="minorHAnsi" w:cs="Calibri"/>
                <w:sz w:val="20"/>
                <w:szCs w:val="20"/>
                <w:lang w:val="sr-Cyrl-BA"/>
              </w:rPr>
            </w:pPr>
            <w:r w:rsidRPr="008144B0">
              <w:rPr>
                <w:rFonts w:asciiTheme="minorHAnsi" w:hAnsiTheme="minorHAnsi" w:cs="Calibri"/>
                <w:sz w:val="20"/>
                <w:szCs w:val="20"/>
                <w:lang w:val="sr-Cyrl-BA"/>
              </w:rPr>
              <w:lastRenderedPageBreak/>
              <w:t>6. *</w:t>
            </w:r>
          </w:p>
        </w:tc>
        <w:tc>
          <w:tcPr>
            <w:cnfStyle w:val="000010000000" w:firstRow="0" w:lastRow="0" w:firstColumn="0" w:lastColumn="0" w:oddVBand="1" w:evenVBand="0" w:oddHBand="0" w:evenHBand="0" w:firstRowFirstColumn="0" w:firstRowLastColumn="0" w:lastRowFirstColumn="0" w:lastRowLastColumn="0"/>
            <w:tcW w:w="2403" w:type="dxa"/>
          </w:tcPr>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rPr>
              <w:t>"TatyanaEnergy" d.o.o. Ljubinje</w:t>
            </w:r>
            <w:r w:rsidRPr="008144B0" w:rsidDel="0084471B">
              <w:rPr>
                <w:rFonts w:asciiTheme="minorHAnsi" w:hAnsiTheme="minorHAnsi"/>
                <w:sz w:val="20"/>
                <w:szCs w:val="20"/>
                <w:lang w:val="sr-Cyrl-BA"/>
              </w:rPr>
              <w:t xml:space="preserve"> </w:t>
            </w:r>
          </w:p>
        </w:tc>
        <w:tc>
          <w:tcPr>
            <w:tcW w:w="2041" w:type="dxa"/>
          </w:tcPr>
          <w:p w:rsidR="005A1B74" w:rsidRPr="008144B0" w:rsidRDefault="005A1B74" w:rsidP="002D1E7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proizvodnja električne energije</w:t>
            </w:r>
          </w:p>
        </w:tc>
        <w:tc>
          <w:tcPr>
            <w:cnfStyle w:val="000010000000" w:firstRow="0" w:lastRow="0" w:firstColumn="0" w:lastColumn="0" w:oddVBand="1" w:evenVBand="0" w:oddHBand="0" w:evenHBand="0" w:firstRowFirstColumn="0" w:firstRowLastColumn="0" w:lastRowFirstColumn="0" w:lastRowLastColumn="0"/>
            <w:tcW w:w="2127" w:type="dxa"/>
          </w:tcPr>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lang w:val="sr-Cyrl-BA"/>
              </w:rPr>
              <w:t xml:space="preserve">Dozvola izdata </w:t>
            </w:r>
            <w:r w:rsidRPr="008144B0">
              <w:rPr>
                <w:rFonts w:asciiTheme="minorHAnsi" w:hAnsiTheme="minorHAnsi"/>
                <w:sz w:val="20"/>
                <w:szCs w:val="20"/>
              </w:rPr>
              <w:t>13.06.2024</w:t>
            </w:r>
            <w:r w:rsidRPr="008144B0">
              <w:rPr>
                <w:rFonts w:asciiTheme="minorHAnsi" w:hAnsiTheme="minorHAnsi"/>
                <w:sz w:val="20"/>
                <w:szCs w:val="20"/>
                <w:lang w:val="sr-Cyrl-BA"/>
              </w:rPr>
              <w:t xml:space="preserve">. na period od pet godina </w:t>
            </w:r>
          </w:p>
        </w:tc>
        <w:tc>
          <w:tcPr>
            <w:cnfStyle w:val="000100000000" w:firstRow="0" w:lastRow="0" w:firstColumn="0" w:lastColumn="1" w:oddVBand="0" w:evenVBand="0" w:oddHBand="0" w:evenHBand="0" w:firstRowFirstColumn="0" w:firstRowLastColumn="0" w:lastRowFirstColumn="0" w:lastRowLastColumn="0"/>
            <w:tcW w:w="2552" w:type="dxa"/>
          </w:tcPr>
          <w:p w:rsidR="005A1B74" w:rsidRPr="00621793" w:rsidRDefault="005A1B74" w:rsidP="002D1E7C">
            <w:pPr>
              <w:jc w:val="center"/>
              <w:rPr>
                <w:rFonts w:asciiTheme="minorHAnsi" w:hAnsiTheme="minorHAnsi"/>
                <w:b w:val="0"/>
                <w:sz w:val="18"/>
                <w:szCs w:val="18"/>
                <w:lang w:val="sr-Cyrl-BA"/>
              </w:rPr>
            </w:pPr>
            <w:r w:rsidRPr="00621793">
              <w:rPr>
                <w:rFonts w:asciiTheme="minorHAnsi" w:hAnsiTheme="minorHAnsi"/>
                <w:b w:val="0"/>
                <w:sz w:val="18"/>
                <w:szCs w:val="18"/>
                <w:lang w:val="sr-Cyrl-BA"/>
              </w:rPr>
              <w:t>Dozvola izdata</w:t>
            </w:r>
            <w:r w:rsidRPr="00621793">
              <w:rPr>
                <w:rFonts w:asciiTheme="minorHAnsi" w:hAnsiTheme="minorHAnsi"/>
                <w:b w:val="0"/>
                <w:sz w:val="18"/>
                <w:szCs w:val="18"/>
                <w:lang w:val="sr-Latn-BA"/>
              </w:rPr>
              <w:t xml:space="preserve"> </w:t>
            </w:r>
            <w:r w:rsidRPr="00621793">
              <w:rPr>
                <w:rFonts w:asciiTheme="minorHAnsi" w:hAnsiTheme="minorHAnsi"/>
                <w:b w:val="0"/>
                <w:sz w:val="18"/>
                <w:szCs w:val="18"/>
                <w:lang w:val="sr-Cyrl-BA"/>
              </w:rPr>
              <w:t>prvi put</w:t>
            </w:r>
          </w:p>
          <w:p w:rsidR="005A1B74" w:rsidRPr="00621793" w:rsidRDefault="005A1B74" w:rsidP="002D1E7C">
            <w:pPr>
              <w:jc w:val="center"/>
              <w:rPr>
                <w:rFonts w:asciiTheme="minorHAnsi" w:hAnsiTheme="minorHAnsi"/>
                <w:b w:val="0"/>
                <w:sz w:val="20"/>
                <w:szCs w:val="20"/>
                <w:lang w:val="sr-Cyrl-BA"/>
              </w:rPr>
            </w:pPr>
            <w:r w:rsidRPr="00621793">
              <w:rPr>
                <w:rFonts w:asciiTheme="minorHAnsi" w:hAnsiTheme="minorHAnsi"/>
                <w:b w:val="0"/>
                <w:sz w:val="18"/>
                <w:szCs w:val="18"/>
                <w:lang w:val="sr-Cyrl-BA"/>
              </w:rPr>
              <w:t xml:space="preserve"> (dozvola obuhvatila proizvodne objekte   </w:t>
            </w:r>
            <w:r w:rsidRPr="00621793">
              <w:rPr>
                <w:rFonts w:asciiTheme="minorHAnsi" w:hAnsiTheme="minorHAnsi"/>
                <w:b w:val="0"/>
                <w:iCs/>
                <w:sz w:val="18"/>
                <w:szCs w:val="18"/>
                <w:lang w:val="sr-Cyrl-BA"/>
              </w:rPr>
              <w:t xml:space="preserve">MSE </w:t>
            </w:r>
            <w:r w:rsidRPr="00621793">
              <w:rPr>
                <w:rFonts w:asciiTheme="minorHAnsi" w:hAnsiTheme="minorHAnsi"/>
                <w:b w:val="0"/>
                <w:iCs/>
                <w:sz w:val="18"/>
                <w:szCs w:val="18"/>
              </w:rPr>
              <w:t xml:space="preserve">"Tatjana 1-4" </w:t>
            </w:r>
            <w:r w:rsidRPr="00621793">
              <w:rPr>
                <w:rFonts w:asciiTheme="minorHAnsi" w:hAnsiTheme="minorHAnsi"/>
                <w:b w:val="0"/>
                <w:iCs/>
                <w:sz w:val="18"/>
                <w:szCs w:val="18"/>
                <w:lang w:val="sr-Cyrl-BA"/>
              </w:rPr>
              <w:t>i</w:t>
            </w:r>
            <w:r w:rsidRPr="00621793">
              <w:rPr>
                <w:rFonts w:asciiTheme="minorHAnsi" w:hAnsiTheme="minorHAnsi"/>
                <w:b w:val="0"/>
                <w:iCs/>
                <w:sz w:val="18"/>
                <w:szCs w:val="18"/>
              </w:rPr>
              <w:t xml:space="preserve"> </w:t>
            </w:r>
            <w:r w:rsidRPr="00621793">
              <w:rPr>
                <w:rFonts w:asciiTheme="minorHAnsi" w:hAnsiTheme="minorHAnsi"/>
                <w:b w:val="0"/>
                <w:iCs/>
                <w:sz w:val="18"/>
                <w:szCs w:val="18"/>
                <w:lang w:val="sr-Cyrl-BA"/>
              </w:rPr>
              <w:t xml:space="preserve">MSE </w:t>
            </w:r>
            <w:r w:rsidRPr="00621793">
              <w:rPr>
                <w:rFonts w:asciiTheme="minorHAnsi" w:hAnsiTheme="minorHAnsi"/>
                <w:b w:val="0"/>
                <w:iCs/>
                <w:sz w:val="18"/>
                <w:szCs w:val="18"/>
              </w:rPr>
              <w:t>"</w:t>
            </w:r>
            <w:r w:rsidRPr="00621793">
              <w:rPr>
                <w:rFonts w:asciiTheme="minorHAnsi" w:hAnsiTheme="minorHAnsi"/>
                <w:b w:val="0"/>
                <w:iCs/>
                <w:sz w:val="18"/>
                <w:szCs w:val="18"/>
                <w:lang w:val="sr-Cyrl-BA"/>
              </w:rPr>
              <w:t>Hum</w:t>
            </w:r>
            <w:r w:rsidRPr="00621793">
              <w:rPr>
                <w:rFonts w:asciiTheme="minorHAnsi" w:hAnsiTheme="minorHAnsi"/>
                <w:b w:val="0"/>
                <w:iCs/>
                <w:sz w:val="18"/>
                <w:szCs w:val="18"/>
              </w:rPr>
              <w:t xml:space="preserve"> </w:t>
            </w:r>
            <w:r w:rsidRPr="00621793">
              <w:rPr>
                <w:rFonts w:asciiTheme="minorHAnsi" w:hAnsiTheme="minorHAnsi"/>
                <w:b w:val="0"/>
                <w:iCs/>
                <w:sz w:val="18"/>
                <w:szCs w:val="18"/>
                <w:lang w:val="sr-Cyrl-BA"/>
              </w:rPr>
              <w:t>1-3</w:t>
            </w:r>
            <w:r w:rsidRPr="00621793">
              <w:rPr>
                <w:rFonts w:asciiTheme="minorHAnsi" w:hAnsiTheme="minorHAnsi"/>
                <w:b w:val="0"/>
                <w:iCs/>
                <w:sz w:val="18"/>
                <w:szCs w:val="18"/>
              </w:rPr>
              <w:t>"</w:t>
            </w:r>
            <w:r w:rsidRPr="00621793">
              <w:rPr>
                <w:rFonts w:asciiTheme="minorHAnsi" w:hAnsiTheme="minorHAnsi"/>
                <w:b w:val="0"/>
                <w:iCs/>
                <w:sz w:val="18"/>
                <w:szCs w:val="18"/>
                <w:lang w:val="sr-Cyrl-BA"/>
              </w:rPr>
              <w:t>)</w:t>
            </w:r>
          </w:p>
        </w:tc>
      </w:tr>
      <w:tr w:rsidR="005A1B74" w:rsidRPr="008144B0" w:rsidTr="00621793">
        <w:trPr>
          <w:cnfStyle w:val="000000100000" w:firstRow="0" w:lastRow="0" w:firstColumn="0" w:lastColumn="0" w:oddVBand="0" w:evenVBand="0" w:oddHBand="1" w:evenHBand="0" w:firstRowFirstColumn="0" w:firstRowLastColumn="0" w:lastRowFirstColumn="0" w:lastRowLastColumn="0"/>
          <w:trHeight w:val="807"/>
        </w:trPr>
        <w:tc>
          <w:tcPr>
            <w:cnfStyle w:val="001000000000" w:firstRow="0" w:lastRow="0" w:firstColumn="1" w:lastColumn="0" w:oddVBand="0" w:evenVBand="0" w:oddHBand="0" w:evenHBand="0" w:firstRowFirstColumn="0" w:firstRowLastColumn="0" w:lastRowFirstColumn="0" w:lastRowLastColumn="0"/>
            <w:tcW w:w="659" w:type="dxa"/>
          </w:tcPr>
          <w:p w:rsidR="005A1B74" w:rsidRPr="008144B0" w:rsidRDefault="005A1B74" w:rsidP="002D1E7C">
            <w:pPr>
              <w:jc w:val="center"/>
              <w:rPr>
                <w:rFonts w:asciiTheme="minorHAnsi" w:hAnsiTheme="minorHAnsi" w:cs="Calibri"/>
                <w:sz w:val="20"/>
                <w:szCs w:val="20"/>
                <w:lang w:val="sr-Cyrl-BA"/>
              </w:rPr>
            </w:pPr>
            <w:r w:rsidRPr="008144B0">
              <w:rPr>
                <w:rFonts w:asciiTheme="minorHAnsi" w:hAnsiTheme="minorHAnsi" w:cs="Calibri"/>
                <w:sz w:val="20"/>
                <w:szCs w:val="20"/>
                <w:lang w:val="sr-Cyrl-BA"/>
              </w:rPr>
              <w:t>7. *</w:t>
            </w:r>
          </w:p>
        </w:tc>
        <w:tc>
          <w:tcPr>
            <w:cnfStyle w:val="000010000000" w:firstRow="0" w:lastRow="0" w:firstColumn="0" w:lastColumn="0" w:oddVBand="1" w:evenVBand="0" w:oddHBand="0" w:evenHBand="0" w:firstRowFirstColumn="0" w:firstRowLastColumn="0" w:lastRowFirstColumn="0" w:lastRowLastColumn="0"/>
            <w:tcW w:w="2403" w:type="dxa"/>
          </w:tcPr>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rPr>
              <w:t>"ERS" male hidroelektrane d.o.o. Foča</w:t>
            </w:r>
          </w:p>
        </w:tc>
        <w:tc>
          <w:tcPr>
            <w:tcW w:w="2041" w:type="dxa"/>
          </w:tcPr>
          <w:p w:rsidR="005A1B74" w:rsidRPr="008144B0" w:rsidRDefault="005A1B74" w:rsidP="002D1E7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proizvodnja električne energije</w:t>
            </w:r>
          </w:p>
        </w:tc>
        <w:tc>
          <w:tcPr>
            <w:cnfStyle w:val="000010000000" w:firstRow="0" w:lastRow="0" w:firstColumn="0" w:lastColumn="0" w:oddVBand="1" w:evenVBand="0" w:oddHBand="0" w:evenHBand="0" w:firstRowFirstColumn="0" w:firstRowLastColumn="0" w:lastRowFirstColumn="0" w:lastRowLastColumn="0"/>
            <w:tcW w:w="2127" w:type="dxa"/>
          </w:tcPr>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lang w:val="sr-Cyrl-BA"/>
              </w:rPr>
              <w:t xml:space="preserve">Dozvola izdata </w:t>
            </w:r>
            <w:r w:rsidRPr="008144B0">
              <w:rPr>
                <w:rFonts w:asciiTheme="minorHAnsi" w:hAnsiTheme="minorHAnsi"/>
                <w:sz w:val="20"/>
                <w:szCs w:val="20"/>
              </w:rPr>
              <w:t>11.07.2024</w:t>
            </w:r>
            <w:r w:rsidRPr="008144B0">
              <w:rPr>
                <w:rFonts w:asciiTheme="minorHAnsi" w:hAnsiTheme="minorHAnsi"/>
                <w:sz w:val="20"/>
                <w:szCs w:val="20"/>
                <w:lang w:val="sr-Cyrl-BA"/>
              </w:rPr>
              <w:t>. na period od 10 godina</w:t>
            </w:r>
          </w:p>
        </w:tc>
        <w:tc>
          <w:tcPr>
            <w:cnfStyle w:val="000100000000" w:firstRow="0" w:lastRow="0" w:firstColumn="0" w:lastColumn="1" w:oddVBand="0" w:evenVBand="0" w:oddHBand="0" w:evenHBand="0" w:firstRowFirstColumn="0" w:firstRowLastColumn="0" w:lastRowFirstColumn="0" w:lastRowLastColumn="0"/>
            <w:tcW w:w="2552" w:type="dxa"/>
          </w:tcPr>
          <w:p w:rsidR="005A1B74" w:rsidRPr="00621793" w:rsidRDefault="005A1B74" w:rsidP="002D1E7C">
            <w:pPr>
              <w:jc w:val="center"/>
              <w:rPr>
                <w:rFonts w:asciiTheme="minorHAnsi" w:hAnsiTheme="minorHAnsi"/>
                <w:b w:val="0"/>
                <w:sz w:val="18"/>
                <w:szCs w:val="18"/>
                <w:lang w:val="sr-Cyrl-BA"/>
              </w:rPr>
            </w:pPr>
            <w:r w:rsidRPr="00621793">
              <w:rPr>
                <w:rFonts w:asciiTheme="minorHAnsi" w:hAnsiTheme="minorHAnsi"/>
                <w:b w:val="0"/>
                <w:sz w:val="18"/>
                <w:szCs w:val="18"/>
                <w:lang w:val="sr-Cyrl-BA"/>
              </w:rPr>
              <w:t>Produženje dozvole</w:t>
            </w:r>
          </w:p>
          <w:p w:rsidR="005A1B74" w:rsidRPr="00621793" w:rsidRDefault="005A1B74" w:rsidP="002D1E7C">
            <w:pPr>
              <w:jc w:val="center"/>
              <w:rPr>
                <w:rFonts w:asciiTheme="minorHAnsi" w:hAnsiTheme="minorHAnsi"/>
                <w:b w:val="0"/>
                <w:iCs/>
                <w:sz w:val="18"/>
                <w:szCs w:val="18"/>
                <w:lang w:val="sr-Cyrl-BA"/>
              </w:rPr>
            </w:pPr>
            <w:r w:rsidRPr="00621793">
              <w:rPr>
                <w:rFonts w:asciiTheme="minorHAnsi" w:hAnsiTheme="minorHAnsi"/>
                <w:b w:val="0"/>
                <w:sz w:val="18"/>
                <w:szCs w:val="18"/>
                <w:lang w:val="sr-Cyrl-BA"/>
              </w:rPr>
              <w:t xml:space="preserve">(dozvola obuhvatila proizvodni objekti </w:t>
            </w:r>
            <w:r w:rsidRPr="00621793">
              <w:rPr>
                <w:rFonts w:asciiTheme="minorHAnsi" w:hAnsiTheme="minorHAnsi"/>
                <w:b w:val="0"/>
                <w:iCs/>
                <w:sz w:val="18"/>
                <w:szCs w:val="18"/>
                <w:lang w:val="sr-Cyrl-BA"/>
              </w:rPr>
              <w:t>MHE „</w:t>
            </w:r>
            <w:r w:rsidRPr="00621793">
              <w:rPr>
                <w:rFonts w:asciiTheme="minorHAnsi" w:hAnsiTheme="minorHAnsi"/>
                <w:b w:val="0"/>
                <w:iCs/>
                <w:sz w:val="18"/>
                <w:szCs w:val="18"/>
              </w:rPr>
              <w:t>Sućeska R-S-1</w:t>
            </w:r>
            <w:r w:rsidRPr="00621793">
              <w:rPr>
                <w:rFonts w:asciiTheme="minorHAnsi" w:hAnsiTheme="minorHAnsi"/>
                <w:b w:val="0"/>
                <w:iCs/>
                <w:sz w:val="18"/>
                <w:szCs w:val="18"/>
                <w:lang w:val="sr-Cyrl-BA"/>
              </w:rPr>
              <w:t>“ i</w:t>
            </w:r>
          </w:p>
          <w:p w:rsidR="005A1B74" w:rsidRPr="00621793" w:rsidRDefault="005A1B74" w:rsidP="002D1E7C">
            <w:pPr>
              <w:ind w:left="-93" w:firstLine="93"/>
              <w:jc w:val="center"/>
              <w:rPr>
                <w:rFonts w:asciiTheme="minorHAnsi" w:hAnsiTheme="minorHAnsi"/>
                <w:b w:val="0"/>
                <w:sz w:val="20"/>
                <w:szCs w:val="20"/>
                <w:lang w:val="sr-Cyrl-BA"/>
              </w:rPr>
            </w:pPr>
            <w:r w:rsidRPr="00621793">
              <w:rPr>
                <w:rFonts w:asciiTheme="minorHAnsi" w:hAnsiTheme="minorHAnsi"/>
                <w:b w:val="0"/>
                <w:iCs/>
                <w:sz w:val="18"/>
                <w:szCs w:val="18"/>
                <w:lang w:val="sr-Cyrl-BA"/>
              </w:rPr>
              <w:t>MHE „</w:t>
            </w:r>
            <w:r w:rsidRPr="00621793">
              <w:rPr>
                <w:rFonts w:asciiTheme="minorHAnsi" w:hAnsiTheme="minorHAnsi"/>
                <w:b w:val="0"/>
                <w:iCs/>
                <w:sz w:val="18"/>
                <w:szCs w:val="18"/>
              </w:rPr>
              <w:t>Sućeska R-S-</w:t>
            </w:r>
            <w:r w:rsidRPr="00621793">
              <w:rPr>
                <w:rFonts w:asciiTheme="minorHAnsi" w:hAnsiTheme="minorHAnsi"/>
                <w:b w:val="0"/>
                <w:iCs/>
                <w:sz w:val="18"/>
                <w:szCs w:val="18"/>
                <w:lang w:val="sr-Cyrl-BA"/>
              </w:rPr>
              <w:t>2“)</w:t>
            </w:r>
          </w:p>
        </w:tc>
      </w:tr>
      <w:tr w:rsidR="005A1B74" w:rsidRPr="008144B0" w:rsidTr="00621793">
        <w:trPr>
          <w:trHeight w:val="807"/>
        </w:trPr>
        <w:tc>
          <w:tcPr>
            <w:cnfStyle w:val="001000000000" w:firstRow="0" w:lastRow="0" w:firstColumn="1" w:lastColumn="0" w:oddVBand="0" w:evenVBand="0" w:oddHBand="0" w:evenHBand="0" w:firstRowFirstColumn="0" w:firstRowLastColumn="0" w:lastRowFirstColumn="0" w:lastRowLastColumn="0"/>
            <w:tcW w:w="659" w:type="dxa"/>
          </w:tcPr>
          <w:p w:rsidR="005A1B74" w:rsidRPr="008144B0" w:rsidRDefault="005A1B74" w:rsidP="002D1E7C">
            <w:pPr>
              <w:jc w:val="center"/>
              <w:rPr>
                <w:rFonts w:asciiTheme="minorHAnsi" w:hAnsiTheme="minorHAnsi" w:cs="Calibri"/>
                <w:sz w:val="20"/>
                <w:szCs w:val="20"/>
                <w:lang w:val="sr-Cyrl-BA"/>
              </w:rPr>
            </w:pPr>
            <w:r w:rsidRPr="008144B0">
              <w:rPr>
                <w:rFonts w:asciiTheme="minorHAnsi" w:hAnsiTheme="minorHAnsi" w:cs="Calibri"/>
                <w:sz w:val="20"/>
                <w:szCs w:val="20"/>
                <w:lang w:val="sr-Cyrl-BA"/>
              </w:rPr>
              <w:t xml:space="preserve">8. </w:t>
            </w:r>
          </w:p>
        </w:tc>
        <w:tc>
          <w:tcPr>
            <w:cnfStyle w:val="000010000000" w:firstRow="0" w:lastRow="0" w:firstColumn="0" w:lastColumn="0" w:oddVBand="1" w:evenVBand="0" w:oddHBand="0" w:evenHBand="0" w:firstRowFirstColumn="0" w:firstRowLastColumn="0" w:lastRowFirstColumn="0" w:lastRowLastColumn="0"/>
            <w:tcW w:w="2403" w:type="dxa"/>
          </w:tcPr>
          <w:p w:rsidR="005A1B74" w:rsidRPr="008144B0" w:rsidRDefault="005A1B74" w:rsidP="002D1E7C">
            <w:pPr>
              <w:jc w:val="center"/>
              <w:rPr>
                <w:rFonts w:asciiTheme="minorHAnsi" w:hAnsiTheme="minorHAnsi"/>
                <w:sz w:val="20"/>
                <w:szCs w:val="20"/>
              </w:rPr>
            </w:pPr>
            <w:r w:rsidRPr="008144B0">
              <w:rPr>
                <w:rFonts w:asciiTheme="minorHAnsi" w:hAnsiTheme="minorHAnsi"/>
                <w:sz w:val="20"/>
                <w:szCs w:val="20"/>
              </w:rPr>
              <w:t>Energy Financing Team SE Bileća</w:t>
            </w:r>
          </w:p>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rPr>
              <w:t>d.o.o. Bileća</w:t>
            </w:r>
            <w:r w:rsidRPr="008144B0" w:rsidDel="0084471B">
              <w:rPr>
                <w:rFonts w:asciiTheme="minorHAnsi" w:hAnsiTheme="minorHAnsi"/>
                <w:sz w:val="20"/>
                <w:szCs w:val="20"/>
                <w:lang w:val="sr-Cyrl-BA"/>
              </w:rPr>
              <w:t xml:space="preserve"> </w:t>
            </w:r>
          </w:p>
        </w:tc>
        <w:tc>
          <w:tcPr>
            <w:tcW w:w="2041" w:type="dxa"/>
          </w:tcPr>
          <w:p w:rsidR="005A1B74" w:rsidRPr="008144B0" w:rsidRDefault="005A1B74" w:rsidP="002D1E7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proizvodnja električne energije</w:t>
            </w:r>
          </w:p>
        </w:tc>
        <w:tc>
          <w:tcPr>
            <w:cnfStyle w:val="000010000000" w:firstRow="0" w:lastRow="0" w:firstColumn="0" w:lastColumn="0" w:oddVBand="1" w:evenVBand="0" w:oddHBand="0" w:evenHBand="0" w:firstRowFirstColumn="0" w:firstRowLastColumn="0" w:lastRowFirstColumn="0" w:lastRowLastColumn="0"/>
            <w:tcW w:w="2127" w:type="dxa"/>
          </w:tcPr>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lang w:val="sr-Cyrl-BA"/>
              </w:rPr>
              <w:t xml:space="preserve">Dozvola izdata </w:t>
            </w:r>
            <w:r w:rsidRPr="008144B0">
              <w:rPr>
                <w:rFonts w:asciiTheme="minorHAnsi" w:hAnsiTheme="minorHAnsi"/>
                <w:sz w:val="20"/>
                <w:szCs w:val="20"/>
              </w:rPr>
              <w:t>29.08.2024</w:t>
            </w:r>
            <w:r w:rsidRPr="008144B0">
              <w:rPr>
                <w:rFonts w:asciiTheme="minorHAnsi" w:hAnsiTheme="minorHAnsi"/>
                <w:sz w:val="20"/>
                <w:szCs w:val="20"/>
                <w:lang w:val="sr-Cyrl-BA"/>
              </w:rPr>
              <w:t xml:space="preserve">. na period od pet godina </w:t>
            </w:r>
          </w:p>
        </w:tc>
        <w:tc>
          <w:tcPr>
            <w:cnfStyle w:val="000100000000" w:firstRow="0" w:lastRow="0" w:firstColumn="0" w:lastColumn="1" w:oddVBand="0" w:evenVBand="0" w:oddHBand="0" w:evenHBand="0" w:firstRowFirstColumn="0" w:firstRowLastColumn="0" w:lastRowFirstColumn="0" w:lastRowLastColumn="0"/>
            <w:tcW w:w="2552" w:type="dxa"/>
          </w:tcPr>
          <w:p w:rsidR="005A1B74" w:rsidRPr="00621793" w:rsidRDefault="005A1B74" w:rsidP="002D1E7C">
            <w:pPr>
              <w:jc w:val="center"/>
              <w:rPr>
                <w:rFonts w:asciiTheme="minorHAnsi" w:hAnsiTheme="minorHAnsi"/>
                <w:b w:val="0"/>
                <w:sz w:val="18"/>
                <w:szCs w:val="18"/>
                <w:lang w:val="sr-Cyrl-BA"/>
              </w:rPr>
            </w:pPr>
            <w:r w:rsidRPr="00621793">
              <w:rPr>
                <w:rFonts w:asciiTheme="minorHAnsi" w:hAnsiTheme="minorHAnsi"/>
                <w:b w:val="0"/>
                <w:sz w:val="18"/>
                <w:szCs w:val="18"/>
                <w:lang w:val="sr-Cyrl-BA"/>
              </w:rPr>
              <w:t>Dozvola izdata</w:t>
            </w:r>
            <w:r w:rsidRPr="00621793">
              <w:rPr>
                <w:rFonts w:asciiTheme="minorHAnsi" w:hAnsiTheme="minorHAnsi"/>
                <w:b w:val="0"/>
                <w:sz w:val="18"/>
                <w:szCs w:val="18"/>
                <w:lang w:val="sr-Latn-BA"/>
              </w:rPr>
              <w:t xml:space="preserve"> </w:t>
            </w:r>
            <w:r w:rsidRPr="00621793">
              <w:rPr>
                <w:rFonts w:asciiTheme="minorHAnsi" w:hAnsiTheme="minorHAnsi"/>
                <w:b w:val="0"/>
                <w:sz w:val="18"/>
                <w:szCs w:val="18"/>
                <w:lang w:val="sr-Cyrl-BA"/>
              </w:rPr>
              <w:t>prvi put</w:t>
            </w:r>
          </w:p>
          <w:p w:rsidR="005A1B74" w:rsidRPr="00621793" w:rsidRDefault="005A1B74" w:rsidP="002D1E7C">
            <w:pPr>
              <w:ind w:left="-84" w:right="-95"/>
              <w:jc w:val="center"/>
              <w:rPr>
                <w:rFonts w:asciiTheme="minorHAnsi" w:hAnsiTheme="minorHAnsi"/>
                <w:b w:val="0"/>
                <w:sz w:val="20"/>
                <w:szCs w:val="20"/>
                <w:lang w:val="sr-Cyrl-BA"/>
              </w:rPr>
            </w:pPr>
            <w:r w:rsidRPr="00621793">
              <w:rPr>
                <w:rFonts w:asciiTheme="minorHAnsi" w:hAnsiTheme="minorHAnsi"/>
                <w:b w:val="0"/>
                <w:sz w:val="18"/>
                <w:szCs w:val="18"/>
                <w:lang w:val="sr-Cyrl-BA"/>
              </w:rPr>
              <w:t xml:space="preserve"> (dozvola obuhvatila proizvodni objekat   FN</w:t>
            </w:r>
            <w:r w:rsidRPr="00621793">
              <w:rPr>
                <w:rFonts w:asciiTheme="minorHAnsi" w:hAnsiTheme="minorHAnsi"/>
                <w:b w:val="0"/>
                <w:iCs/>
                <w:sz w:val="18"/>
                <w:szCs w:val="18"/>
                <w:lang w:val="sr-Cyrl-BA"/>
              </w:rPr>
              <w:t xml:space="preserve">E </w:t>
            </w:r>
            <w:r w:rsidRPr="00621793">
              <w:rPr>
                <w:rFonts w:asciiTheme="minorHAnsi" w:hAnsiTheme="minorHAnsi"/>
                <w:b w:val="0"/>
                <w:iCs/>
                <w:sz w:val="18"/>
                <w:szCs w:val="18"/>
              </w:rPr>
              <w:t>"</w:t>
            </w:r>
            <w:r w:rsidRPr="00621793">
              <w:rPr>
                <w:rFonts w:asciiTheme="minorHAnsi" w:hAnsiTheme="minorHAnsi"/>
                <w:b w:val="0"/>
                <w:iCs/>
                <w:sz w:val="18"/>
                <w:szCs w:val="18"/>
                <w:lang w:val="sr-Cyrl-BA"/>
              </w:rPr>
              <w:t>Bileća</w:t>
            </w:r>
            <w:r w:rsidRPr="00621793">
              <w:rPr>
                <w:rFonts w:asciiTheme="minorHAnsi" w:hAnsiTheme="minorHAnsi"/>
                <w:b w:val="0"/>
                <w:iCs/>
                <w:sz w:val="18"/>
                <w:szCs w:val="18"/>
              </w:rPr>
              <w:t>"</w:t>
            </w:r>
            <w:r w:rsidRPr="00621793">
              <w:rPr>
                <w:rFonts w:asciiTheme="minorHAnsi" w:hAnsiTheme="minorHAnsi"/>
                <w:b w:val="0"/>
                <w:iCs/>
                <w:sz w:val="18"/>
                <w:szCs w:val="18"/>
                <w:lang w:val="sr-Cyrl-BA"/>
              </w:rPr>
              <w:t>)</w:t>
            </w:r>
          </w:p>
        </w:tc>
      </w:tr>
      <w:tr w:rsidR="005A1B74" w:rsidRPr="008144B0" w:rsidTr="00621793">
        <w:trPr>
          <w:cnfStyle w:val="000000100000" w:firstRow="0" w:lastRow="0" w:firstColumn="0" w:lastColumn="0" w:oddVBand="0" w:evenVBand="0" w:oddHBand="1" w:evenHBand="0" w:firstRowFirstColumn="0" w:firstRowLastColumn="0" w:lastRowFirstColumn="0" w:lastRowLastColumn="0"/>
          <w:trHeight w:val="807"/>
        </w:trPr>
        <w:tc>
          <w:tcPr>
            <w:cnfStyle w:val="001000000000" w:firstRow="0" w:lastRow="0" w:firstColumn="1" w:lastColumn="0" w:oddVBand="0" w:evenVBand="0" w:oddHBand="0" w:evenHBand="0" w:firstRowFirstColumn="0" w:firstRowLastColumn="0" w:lastRowFirstColumn="0" w:lastRowLastColumn="0"/>
            <w:tcW w:w="659" w:type="dxa"/>
          </w:tcPr>
          <w:p w:rsidR="005A1B74" w:rsidRPr="008144B0" w:rsidRDefault="005A1B74" w:rsidP="002D1E7C">
            <w:pPr>
              <w:jc w:val="center"/>
              <w:rPr>
                <w:rFonts w:asciiTheme="minorHAnsi" w:hAnsiTheme="minorHAnsi" w:cs="Calibri"/>
                <w:sz w:val="20"/>
                <w:szCs w:val="20"/>
                <w:lang w:val="sr-Cyrl-BA"/>
              </w:rPr>
            </w:pPr>
            <w:r w:rsidRPr="008144B0">
              <w:rPr>
                <w:rFonts w:asciiTheme="minorHAnsi" w:hAnsiTheme="minorHAnsi" w:cs="Calibri"/>
                <w:sz w:val="20"/>
                <w:szCs w:val="20"/>
                <w:lang w:val="sr-Cyrl-BA"/>
              </w:rPr>
              <w:t xml:space="preserve">9. </w:t>
            </w:r>
          </w:p>
        </w:tc>
        <w:tc>
          <w:tcPr>
            <w:cnfStyle w:val="000010000000" w:firstRow="0" w:lastRow="0" w:firstColumn="0" w:lastColumn="0" w:oddVBand="1" w:evenVBand="0" w:oddHBand="0" w:evenHBand="0" w:firstRowFirstColumn="0" w:firstRowLastColumn="0" w:lastRowFirstColumn="0" w:lastRowLastColumn="0"/>
            <w:tcW w:w="2403" w:type="dxa"/>
          </w:tcPr>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rPr>
              <w:t>"DELASO" d.o.o. Teslić</w:t>
            </w:r>
          </w:p>
        </w:tc>
        <w:tc>
          <w:tcPr>
            <w:tcW w:w="2041" w:type="dxa"/>
          </w:tcPr>
          <w:p w:rsidR="005A1B74" w:rsidRPr="008144B0" w:rsidRDefault="005A1B74" w:rsidP="002D1E7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proizvodnja električne energije</w:t>
            </w:r>
          </w:p>
        </w:tc>
        <w:tc>
          <w:tcPr>
            <w:cnfStyle w:val="000010000000" w:firstRow="0" w:lastRow="0" w:firstColumn="0" w:lastColumn="0" w:oddVBand="1" w:evenVBand="0" w:oddHBand="0" w:evenHBand="0" w:firstRowFirstColumn="0" w:firstRowLastColumn="0" w:lastRowFirstColumn="0" w:lastRowLastColumn="0"/>
            <w:tcW w:w="2127" w:type="dxa"/>
          </w:tcPr>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lang w:val="sr-Cyrl-BA"/>
              </w:rPr>
              <w:t>Dozvola izdata 22</w:t>
            </w:r>
            <w:r w:rsidRPr="008144B0">
              <w:rPr>
                <w:rFonts w:asciiTheme="minorHAnsi" w:hAnsiTheme="minorHAnsi"/>
                <w:sz w:val="20"/>
                <w:szCs w:val="20"/>
              </w:rPr>
              <w:t>.09.2024</w:t>
            </w:r>
            <w:r w:rsidRPr="008144B0">
              <w:rPr>
                <w:rFonts w:asciiTheme="minorHAnsi" w:hAnsiTheme="minorHAnsi"/>
                <w:sz w:val="20"/>
                <w:szCs w:val="20"/>
                <w:lang w:val="sr-Cyrl-BA"/>
              </w:rPr>
              <w:t>. na period od pet godina</w:t>
            </w:r>
          </w:p>
        </w:tc>
        <w:tc>
          <w:tcPr>
            <w:cnfStyle w:val="000100000000" w:firstRow="0" w:lastRow="0" w:firstColumn="0" w:lastColumn="1" w:oddVBand="0" w:evenVBand="0" w:oddHBand="0" w:evenHBand="0" w:firstRowFirstColumn="0" w:firstRowLastColumn="0" w:lastRowFirstColumn="0" w:lastRowLastColumn="0"/>
            <w:tcW w:w="2552" w:type="dxa"/>
          </w:tcPr>
          <w:p w:rsidR="005A1B74" w:rsidRPr="00621793" w:rsidRDefault="005A1B74" w:rsidP="002D1E7C">
            <w:pPr>
              <w:jc w:val="center"/>
              <w:rPr>
                <w:rFonts w:asciiTheme="minorHAnsi" w:hAnsiTheme="minorHAnsi"/>
                <w:b w:val="0"/>
                <w:sz w:val="18"/>
                <w:szCs w:val="18"/>
                <w:lang w:val="sr-Cyrl-BA"/>
              </w:rPr>
            </w:pPr>
            <w:r w:rsidRPr="00621793">
              <w:rPr>
                <w:rFonts w:asciiTheme="minorHAnsi" w:hAnsiTheme="minorHAnsi"/>
                <w:b w:val="0"/>
                <w:sz w:val="18"/>
                <w:szCs w:val="18"/>
                <w:lang w:val="sr-Cyrl-BA"/>
              </w:rPr>
              <w:t>Produženje dozvole</w:t>
            </w:r>
          </w:p>
          <w:p w:rsidR="005A1B74" w:rsidRPr="00621793" w:rsidRDefault="005A1B74" w:rsidP="002D1E7C">
            <w:pPr>
              <w:jc w:val="center"/>
              <w:rPr>
                <w:rFonts w:asciiTheme="minorHAnsi" w:hAnsiTheme="minorHAnsi"/>
                <w:b w:val="0"/>
                <w:sz w:val="20"/>
                <w:szCs w:val="20"/>
                <w:lang w:val="sr-Cyrl-BA"/>
              </w:rPr>
            </w:pPr>
            <w:r w:rsidRPr="00621793">
              <w:rPr>
                <w:rFonts w:asciiTheme="minorHAnsi" w:hAnsiTheme="minorHAnsi"/>
                <w:b w:val="0"/>
                <w:sz w:val="18"/>
                <w:szCs w:val="18"/>
                <w:lang w:val="sr-Cyrl-BA"/>
              </w:rPr>
              <w:t xml:space="preserve">(dozvola obuhvatila proizvodni objekat </w:t>
            </w:r>
            <w:r w:rsidRPr="00621793">
              <w:rPr>
                <w:rFonts w:asciiTheme="minorHAnsi" w:hAnsiTheme="minorHAnsi"/>
                <w:b w:val="0"/>
                <w:iCs/>
                <w:sz w:val="18"/>
                <w:szCs w:val="18"/>
                <w:lang w:val="sr-Cyrl-BA"/>
              </w:rPr>
              <w:t>MHE „</w:t>
            </w:r>
            <w:r w:rsidRPr="00621793">
              <w:rPr>
                <w:rFonts w:asciiTheme="minorHAnsi" w:hAnsiTheme="minorHAnsi"/>
                <w:b w:val="0"/>
                <w:iCs/>
                <w:sz w:val="18"/>
                <w:szCs w:val="18"/>
              </w:rPr>
              <w:t>Hotovlje</w:t>
            </w:r>
            <w:r w:rsidRPr="00621793">
              <w:rPr>
                <w:rFonts w:asciiTheme="minorHAnsi" w:hAnsiTheme="minorHAnsi"/>
                <w:b w:val="0"/>
                <w:iCs/>
                <w:sz w:val="18"/>
                <w:szCs w:val="18"/>
                <w:lang w:val="sr-Cyrl-BA"/>
              </w:rPr>
              <w:t>“)</w:t>
            </w:r>
          </w:p>
        </w:tc>
      </w:tr>
      <w:tr w:rsidR="005A1B74" w:rsidRPr="008144B0" w:rsidTr="00621793">
        <w:trPr>
          <w:trHeight w:val="807"/>
        </w:trPr>
        <w:tc>
          <w:tcPr>
            <w:cnfStyle w:val="001000000000" w:firstRow="0" w:lastRow="0" w:firstColumn="1" w:lastColumn="0" w:oddVBand="0" w:evenVBand="0" w:oddHBand="0" w:evenHBand="0" w:firstRowFirstColumn="0" w:firstRowLastColumn="0" w:lastRowFirstColumn="0" w:lastRowLastColumn="0"/>
            <w:tcW w:w="659" w:type="dxa"/>
          </w:tcPr>
          <w:p w:rsidR="005A1B74" w:rsidRPr="008144B0" w:rsidRDefault="005A1B74" w:rsidP="002D1E7C">
            <w:pPr>
              <w:jc w:val="center"/>
              <w:rPr>
                <w:rFonts w:asciiTheme="minorHAnsi" w:hAnsiTheme="minorHAnsi" w:cs="Calibri"/>
                <w:sz w:val="20"/>
                <w:szCs w:val="20"/>
                <w:lang w:val="sr-Cyrl-BA"/>
              </w:rPr>
            </w:pPr>
            <w:r w:rsidRPr="008144B0">
              <w:rPr>
                <w:rFonts w:asciiTheme="minorHAnsi" w:hAnsiTheme="minorHAnsi" w:cs="Calibri"/>
                <w:sz w:val="20"/>
                <w:szCs w:val="20"/>
                <w:lang w:val="sr-Cyrl-BA"/>
              </w:rPr>
              <w:t>10. *</w:t>
            </w:r>
          </w:p>
        </w:tc>
        <w:tc>
          <w:tcPr>
            <w:cnfStyle w:val="000010000000" w:firstRow="0" w:lastRow="0" w:firstColumn="0" w:lastColumn="0" w:oddVBand="1" w:evenVBand="0" w:oddHBand="0" w:evenHBand="0" w:firstRowFirstColumn="0" w:firstRowLastColumn="0" w:lastRowFirstColumn="0" w:lastRowLastColumn="0"/>
            <w:tcW w:w="2403" w:type="dxa"/>
          </w:tcPr>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lang w:val="sr-Cyrl-BA"/>
              </w:rPr>
              <w:t>"TatyanaEnergy" d.o.o. Ljubinje</w:t>
            </w:r>
          </w:p>
        </w:tc>
        <w:tc>
          <w:tcPr>
            <w:tcW w:w="2041" w:type="dxa"/>
          </w:tcPr>
          <w:p w:rsidR="005A1B74" w:rsidRPr="008144B0" w:rsidRDefault="005A1B74" w:rsidP="002D1E7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proizvodnja električne energije</w:t>
            </w:r>
          </w:p>
        </w:tc>
        <w:tc>
          <w:tcPr>
            <w:cnfStyle w:val="000010000000" w:firstRow="0" w:lastRow="0" w:firstColumn="0" w:lastColumn="0" w:oddVBand="1" w:evenVBand="0" w:oddHBand="0" w:evenHBand="0" w:firstRowFirstColumn="0" w:firstRowLastColumn="0" w:lastRowFirstColumn="0" w:lastRowLastColumn="0"/>
            <w:tcW w:w="2127" w:type="dxa"/>
          </w:tcPr>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lang w:val="sr-Cyrl-BA"/>
              </w:rPr>
              <w:t xml:space="preserve">Zahtjev za izmjenu dozvole podnesen </w:t>
            </w:r>
            <w:r w:rsidRPr="008144B0">
              <w:rPr>
                <w:rFonts w:asciiTheme="minorHAnsi" w:hAnsiTheme="minorHAnsi"/>
                <w:sz w:val="20"/>
                <w:szCs w:val="20"/>
              </w:rPr>
              <w:t>26.09.2024</w:t>
            </w:r>
            <w:r w:rsidRPr="008144B0">
              <w:rPr>
                <w:rFonts w:asciiTheme="minorHAnsi" w:hAnsiTheme="minorHAnsi"/>
                <w:sz w:val="20"/>
                <w:szCs w:val="20"/>
                <w:lang w:val="sr-Cyrl-BA"/>
              </w:rPr>
              <w:t xml:space="preserve">. godine     </w:t>
            </w:r>
          </w:p>
        </w:tc>
        <w:tc>
          <w:tcPr>
            <w:cnfStyle w:val="000100000000" w:firstRow="0" w:lastRow="0" w:firstColumn="0" w:lastColumn="1" w:oddVBand="0" w:evenVBand="0" w:oddHBand="0" w:evenHBand="0" w:firstRowFirstColumn="0" w:firstRowLastColumn="0" w:lastRowFirstColumn="0" w:lastRowLastColumn="0"/>
            <w:tcW w:w="2552" w:type="dxa"/>
          </w:tcPr>
          <w:p w:rsidR="005A1B74" w:rsidRPr="00621793" w:rsidRDefault="005A1B74" w:rsidP="002D1E7C">
            <w:pPr>
              <w:ind w:left="-84" w:right="-95"/>
              <w:jc w:val="center"/>
              <w:rPr>
                <w:rFonts w:asciiTheme="minorHAnsi" w:hAnsiTheme="minorHAnsi"/>
                <w:b w:val="0"/>
                <w:color w:val="auto"/>
                <w:sz w:val="18"/>
                <w:szCs w:val="18"/>
                <w:lang w:val="sr-Cyrl-BA"/>
              </w:rPr>
            </w:pPr>
            <w:r w:rsidRPr="00621793">
              <w:rPr>
                <w:rFonts w:asciiTheme="minorHAnsi" w:hAnsiTheme="minorHAnsi"/>
                <w:b w:val="0"/>
                <w:sz w:val="18"/>
                <w:szCs w:val="18"/>
                <w:lang w:val="sr-Cyrl-BA"/>
              </w:rPr>
              <w:t xml:space="preserve">Rješenjem od </w:t>
            </w:r>
            <w:r w:rsidRPr="00621793">
              <w:rPr>
                <w:rFonts w:asciiTheme="minorHAnsi" w:hAnsiTheme="minorHAnsi"/>
                <w:b w:val="0"/>
                <w:sz w:val="18"/>
                <w:szCs w:val="18"/>
              </w:rPr>
              <w:t>24.10.2024</w:t>
            </w:r>
            <w:r w:rsidRPr="00621793">
              <w:rPr>
                <w:rFonts w:asciiTheme="minorHAnsi" w:hAnsiTheme="minorHAnsi"/>
                <w:b w:val="0"/>
                <w:sz w:val="18"/>
                <w:szCs w:val="18"/>
                <w:lang w:val="sr-Cyrl-BA"/>
              </w:rPr>
              <w:t xml:space="preserve">. godine izmijenjena dozvola </w:t>
            </w:r>
          </w:p>
          <w:p w:rsidR="005A1B74" w:rsidRPr="00621793" w:rsidRDefault="005A1B74" w:rsidP="002D1E7C">
            <w:pPr>
              <w:jc w:val="center"/>
              <w:rPr>
                <w:rFonts w:asciiTheme="minorHAnsi" w:hAnsiTheme="minorHAnsi"/>
                <w:b w:val="0"/>
                <w:sz w:val="20"/>
                <w:szCs w:val="20"/>
                <w:lang w:val="sr-Cyrl-BA"/>
              </w:rPr>
            </w:pPr>
            <w:r w:rsidRPr="00621793">
              <w:rPr>
                <w:rFonts w:asciiTheme="minorHAnsi" w:hAnsiTheme="minorHAnsi"/>
                <w:b w:val="0"/>
                <w:sz w:val="18"/>
                <w:szCs w:val="18"/>
                <w:lang w:val="sr-Cyrl-BA"/>
              </w:rPr>
              <w:t xml:space="preserve">(izmjena dozvole obuhvatila novoizgrađene proizvodne objekte </w:t>
            </w:r>
            <w:r w:rsidRPr="00621793">
              <w:rPr>
                <w:rFonts w:asciiTheme="minorHAnsi" w:hAnsiTheme="minorHAnsi"/>
                <w:b w:val="0"/>
                <w:iCs/>
                <w:sz w:val="18"/>
                <w:szCs w:val="18"/>
                <w:lang w:val="sr-Cyrl-BA"/>
              </w:rPr>
              <w:t xml:space="preserve">MSE „Hum 4“ i MSE </w:t>
            </w:r>
            <w:r w:rsidRPr="00621793">
              <w:rPr>
                <w:rFonts w:asciiTheme="minorHAnsi" w:hAnsiTheme="minorHAnsi"/>
                <w:b w:val="0"/>
                <w:iCs/>
                <w:sz w:val="18"/>
                <w:szCs w:val="18"/>
              </w:rPr>
              <w:t>"</w:t>
            </w:r>
            <w:r w:rsidRPr="00621793">
              <w:rPr>
                <w:rFonts w:asciiTheme="minorHAnsi" w:hAnsiTheme="minorHAnsi"/>
                <w:b w:val="0"/>
                <w:iCs/>
                <w:sz w:val="18"/>
                <w:szCs w:val="18"/>
                <w:lang w:val="sr-Cyrl-BA"/>
              </w:rPr>
              <w:t>Vrt</w:t>
            </w:r>
            <w:r w:rsidRPr="00621793">
              <w:rPr>
                <w:rFonts w:asciiTheme="minorHAnsi" w:hAnsiTheme="minorHAnsi"/>
                <w:b w:val="0"/>
                <w:iCs/>
                <w:sz w:val="18"/>
                <w:szCs w:val="18"/>
              </w:rPr>
              <w:t xml:space="preserve"> </w:t>
            </w:r>
            <w:r w:rsidRPr="00621793">
              <w:rPr>
                <w:rFonts w:asciiTheme="minorHAnsi" w:hAnsiTheme="minorHAnsi"/>
                <w:b w:val="0"/>
                <w:iCs/>
                <w:sz w:val="18"/>
                <w:szCs w:val="18"/>
                <w:lang w:val="sr-Cyrl-BA"/>
              </w:rPr>
              <w:t>1,2,3,6</w:t>
            </w:r>
            <w:r w:rsidRPr="00621793">
              <w:rPr>
                <w:rFonts w:asciiTheme="minorHAnsi" w:hAnsiTheme="minorHAnsi"/>
                <w:b w:val="0"/>
                <w:iCs/>
                <w:sz w:val="18"/>
                <w:szCs w:val="18"/>
              </w:rPr>
              <w:t>"</w:t>
            </w:r>
            <w:r w:rsidRPr="00621793">
              <w:rPr>
                <w:rFonts w:asciiTheme="minorHAnsi" w:hAnsiTheme="minorHAnsi"/>
                <w:b w:val="0"/>
                <w:sz w:val="18"/>
                <w:szCs w:val="18"/>
                <w:lang w:val="sr-Cyrl-BA"/>
              </w:rPr>
              <w:t>)</w:t>
            </w:r>
          </w:p>
        </w:tc>
      </w:tr>
      <w:tr w:rsidR="005A1B74" w:rsidRPr="008144B0" w:rsidTr="00621793">
        <w:trPr>
          <w:cnfStyle w:val="000000100000" w:firstRow="0" w:lastRow="0" w:firstColumn="0" w:lastColumn="0" w:oddVBand="0" w:evenVBand="0" w:oddHBand="1" w:evenHBand="0" w:firstRowFirstColumn="0" w:firstRowLastColumn="0" w:lastRowFirstColumn="0" w:lastRowLastColumn="0"/>
          <w:trHeight w:val="807"/>
        </w:trPr>
        <w:tc>
          <w:tcPr>
            <w:cnfStyle w:val="001000000000" w:firstRow="0" w:lastRow="0" w:firstColumn="1" w:lastColumn="0" w:oddVBand="0" w:evenVBand="0" w:oddHBand="0" w:evenHBand="0" w:firstRowFirstColumn="0" w:firstRowLastColumn="0" w:lastRowFirstColumn="0" w:lastRowLastColumn="0"/>
            <w:tcW w:w="659" w:type="dxa"/>
          </w:tcPr>
          <w:p w:rsidR="005A1B74" w:rsidRPr="008144B0" w:rsidRDefault="005A1B74" w:rsidP="002D1E7C">
            <w:pPr>
              <w:jc w:val="center"/>
              <w:rPr>
                <w:rFonts w:asciiTheme="minorHAnsi" w:hAnsiTheme="minorHAnsi" w:cs="Calibri"/>
                <w:sz w:val="20"/>
                <w:szCs w:val="20"/>
                <w:lang w:val="sr-Cyrl-BA"/>
              </w:rPr>
            </w:pPr>
            <w:r w:rsidRPr="008144B0">
              <w:rPr>
                <w:rFonts w:asciiTheme="minorHAnsi" w:hAnsiTheme="minorHAnsi" w:cs="Calibri"/>
                <w:sz w:val="20"/>
                <w:szCs w:val="20"/>
                <w:lang w:val="sr-Cyrl-BA"/>
              </w:rPr>
              <w:t>11. *</w:t>
            </w:r>
          </w:p>
        </w:tc>
        <w:tc>
          <w:tcPr>
            <w:cnfStyle w:val="000010000000" w:firstRow="0" w:lastRow="0" w:firstColumn="0" w:lastColumn="0" w:oddVBand="1" w:evenVBand="0" w:oddHBand="0" w:evenHBand="0" w:firstRowFirstColumn="0" w:firstRowLastColumn="0" w:lastRowFirstColumn="0" w:lastRowLastColumn="0"/>
            <w:tcW w:w="2403" w:type="dxa"/>
          </w:tcPr>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lang w:val="sr-Cyrl-BA"/>
              </w:rPr>
              <w:t>"STANIŠIĆ" d.o.o. Pale</w:t>
            </w:r>
          </w:p>
        </w:tc>
        <w:tc>
          <w:tcPr>
            <w:tcW w:w="2041" w:type="dxa"/>
          </w:tcPr>
          <w:p w:rsidR="005A1B74" w:rsidRPr="008144B0" w:rsidRDefault="005A1B74" w:rsidP="002D1E7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proizvodnja električne energije</w:t>
            </w:r>
          </w:p>
        </w:tc>
        <w:tc>
          <w:tcPr>
            <w:cnfStyle w:val="000010000000" w:firstRow="0" w:lastRow="0" w:firstColumn="0" w:lastColumn="0" w:oddVBand="1" w:evenVBand="0" w:oddHBand="0" w:evenHBand="0" w:firstRowFirstColumn="0" w:firstRowLastColumn="0" w:lastRowFirstColumn="0" w:lastRowLastColumn="0"/>
            <w:tcW w:w="2127" w:type="dxa"/>
          </w:tcPr>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lang w:val="sr-Cyrl-BA"/>
              </w:rPr>
              <w:t xml:space="preserve">Zahtjev za izmjenu dozvole podnesen </w:t>
            </w:r>
            <w:r w:rsidRPr="008144B0">
              <w:rPr>
                <w:rFonts w:asciiTheme="minorHAnsi" w:hAnsiTheme="minorHAnsi"/>
                <w:sz w:val="20"/>
                <w:szCs w:val="20"/>
              </w:rPr>
              <w:t>26.07.2024</w:t>
            </w:r>
            <w:r w:rsidRPr="008144B0">
              <w:rPr>
                <w:rFonts w:asciiTheme="minorHAnsi" w:hAnsiTheme="minorHAnsi"/>
                <w:sz w:val="20"/>
                <w:szCs w:val="20"/>
                <w:lang w:val="sr-Cyrl-BA"/>
              </w:rPr>
              <w:t xml:space="preserve">. godine     </w:t>
            </w:r>
          </w:p>
        </w:tc>
        <w:tc>
          <w:tcPr>
            <w:cnfStyle w:val="000100000000" w:firstRow="0" w:lastRow="0" w:firstColumn="0" w:lastColumn="1" w:oddVBand="0" w:evenVBand="0" w:oddHBand="0" w:evenHBand="0" w:firstRowFirstColumn="0" w:firstRowLastColumn="0" w:lastRowFirstColumn="0" w:lastRowLastColumn="0"/>
            <w:tcW w:w="2552" w:type="dxa"/>
          </w:tcPr>
          <w:p w:rsidR="005A1B74" w:rsidRPr="00621793" w:rsidRDefault="005A1B74" w:rsidP="002D1E7C">
            <w:pPr>
              <w:ind w:left="-84" w:right="-95"/>
              <w:jc w:val="center"/>
              <w:rPr>
                <w:rFonts w:asciiTheme="minorHAnsi" w:hAnsiTheme="minorHAnsi"/>
                <w:b w:val="0"/>
                <w:color w:val="auto"/>
                <w:sz w:val="18"/>
                <w:szCs w:val="18"/>
                <w:lang w:val="sr-Cyrl-BA"/>
              </w:rPr>
            </w:pPr>
            <w:r w:rsidRPr="00621793">
              <w:rPr>
                <w:rFonts w:asciiTheme="minorHAnsi" w:hAnsiTheme="minorHAnsi"/>
                <w:b w:val="0"/>
                <w:sz w:val="18"/>
                <w:szCs w:val="18"/>
                <w:lang w:val="sr-Cyrl-BA"/>
              </w:rPr>
              <w:t xml:space="preserve">Rješenjem od </w:t>
            </w:r>
            <w:r w:rsidRPr="00621793">
              <w:rPr>
                <w:rFonts w:asciiTheme="minorHAnsi" w:hAnsiTheme="minorHAnsi"/>
                <w:b w:val="0"/>
                <w:sz w:val="18"/>
                <w:szCs w:val="18"/>
              </w:rPr>
              <w:t>24.10.2024</w:t>
            </w:r>
            <w:r w:rsidRPr="00621793">
              <w:rPr>
                <w:rFonts w:asciiTheme="minorHAnsi" w:hAnsiTheme="minorHAnsi"/>
                <w:b w:val="0"/>
                <w:sz w:val="18"/>
                <w:szCs w:val="18"/>
                <w:lang w:val="sr-Cyrl-BA"/>
              </w:rPr>
              <w:t xml:space="preserve">. godine izmijenjena dozvola </w:t>
            </w:r>
          </w:p>
          <w:p w:rsidR="005A1B74" w:rsidRPr="00621793" w:rsidRDefault="005A1B74" w:rsidP="002D1E7C">
            <w:pPr>
              <w:jc w:val="center"/>
              <w:rPr>
                <w:rFonts w:asciiTheme="minorHAnsi" w:hAnsiTheme="minorHAnsi"/>
                <w:b w:val="0"/>
                <w:sz w:val="20"/>
                <w:szCs w:val="20"/>
                <w:lang w:val="sr-Cyrl-BA"/>
              </w:rPr>
            </w:pPr>
            <w:r w:rsidRPr="00621793">
              <w:rPr>
                <w:rFonts w:asciiTheme="minorHAnsi" w:hAnsiTheme="minorHAnsi"/>
                <w:b w:val="0"/>
                <w:sz w:val="18"/>
                <w:szCs w:val="18"/>
                <w:lang w:val="sr-Cyrl-BA"/>
              </w:rPr>
              <w:t>(izmjena dozvole obuhvatila novoizgrađene proizvodne objekte FN</w:t>
            </w:r>
            <w:r w:rsidRPr="00621793">
              <w:rPr>
                <w:rFonts w:asciiTheme="minorHAnsi" w:hAnsiTheme="minorHAnsi"/>
                <w:b w:val="0"/>
                <w:iCs/>
                <w:sz w:val="18"/>
                <w:szCs w:val="18"/>
                <w:lang w:val="sr-Cyrl-BA"/>
              </w:rPr>
              <w:t>E „Romanija 1-6</w:t>
            </w:r>
            <w:r w:rsidRPr="00621793">
              <w:rPr>
                <w:rFonts w:asciiTheme="minorHAnsi" w:hAnsiTheme="minorHAnsi"/>
                <w:b w:val="0"/>
                <w:iCs/>
                <w:sz w:val="18"/>
                <w:szCs w:val="18"/>
              </w:rPr>
              <w:t>"</w:t>
            </w:r>
            <w:r w:rsidRPr="00621793">
              <w:rPr>
                <w:rFonts w:asciiTheme="minorHAnsi" w:hAnsiTheme="minorHAnsi"/>
                <w:b w:val="0"/>
                <w:sz w:val="18"/>
                <w:szCs w:val="18"/>
                <w:lang w:val="sr-Cyrl-BA"/>
              </w:rPr>
              <w:t>)</w:t>
            </w:r>
          </w:p>
        </w:tc>
      </w:tr>
      <w:tr w:rsidR="005A1B74" w:rsidRPr="008144B0" w:rsidTr="00621793">
        <w:trPr>
          <w:trHeight w:val="807"/>
        </w:trPr>
        <w:tc>
          <w:tcPr>
            <w:cnfStyle w:val="001000000000" w:firstRow="0" w:lastRow="0" w:firstColumn="1" w:lastColumn="0" w:oddVBand="0" w:evenVBand="0" w:oddHBand="0" w:evenHBand="0" w:firstRowFirstColumn="0" w:firstRowLastColumn="0" w:lastRowFirstColumn="0" w:lastRowLastColumn="0"/>
            <w:tcW w:w="659" w:type="dxa"/>
          </w:tcPr>
          <w:p w:rsidR="005A1B74" w:rsidRPr="008144B0" w:rsidRDefault="005A1B74" w:rsidP="002D1E7C">
            <w:pPr>
              <w:jc w:val="center"/>
              <w:rPr>
                <w:rFonts w:asciiTheme="minorHAnsi" w:hAnsiTheme="minorHAnsi" w:cs="Calibri"/>
                <w:sz w:val="20"/>
                <w:szCs w:val="20"/>
                <w:lang w:val="sr-Cyrl-BA"/>
              </w:rPr>
            </w:pPr>
            <w:r w:rsidRPr="008144B0">
              <w:rPr>
                <w:rFonts w:asciiTheme="minorHAnsi" w:hAnsiTheme="minorHAnsi" w:cs="Calibri"/>
                <w:sz w:val="20"/>
                <w:szCs w:val="20"/>
                <w:lang w:val="sr-Cyrl-BA"/>
              </w:rPr>
              <w:t>12. *</w:t>
            </w:r>
          </w:p>
        </w:tc>
        <w:tc>
          <w:tcPr>
            <w:cnfStyle w:val="000010000000" w:firstRow="0" w:lastRow="0" w:firstColumn="0" w:lastColumn="0" w:oddVBand="1" w:evenVBand="0" w:oddHBand="0" w:evenHBand="0" w:firstRowFirstColumn="0" w:firstRowLastColumn="0" w:lastRowFirstColumn="0" w:lastRowLastColumn="0"/>
            <w:tcW w:w="2403" w:type="dxa"/>
          </w:tcPr>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rPr>
              <w:t xml:space="preserve">"COMP-ASTOR" Rakani d.o.o. </w:t>
            </w:r>
            <w:r w:rsidRPr="008144B0">
              <w:rPr>
                <w:rFonts w:asciiTheme="minorHAnsi" w:hAnsiTheme="minorHAnsi"/>
                <w:sz w:val="20"/>
                <w:szCs w:val="20"/>
                <w:lang w:val="sr-Cyrl-BA"/>
              </w:rPr>
              <w:t>Novi Grad</w:t>
            </w:r>
            <w:r w:rsidRPr="008144B0" w:rsidDel="0084471B">
              <w:rPr>
                <w:rFonts w:asciiTheme="minorHAnsi" w:hAnsiTheme="minorHAnsi"/>
                <w:sz w:val="20"/>
                <w:szCs w:val="20"/>
                <w:lang w:val="sr-Cyrl-BA"/>
              </w:rPr>
              <w:t xml:space="preserve"> </w:t>
            </w:r>
          </w:p>
        </w:tc>
        <w:tc>
          <w:tcPr>
            <w:tcW w:w="2041" w:type="dxa"/>
          </w:tcPr>
          <w:p w:rsidR="005A1B74" w:rsidRPr="008144B0" w:rsidRDefault="005A1B74" w:rsidP="002D1E7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proizvodnja električne energije</w:t>
            </w:r>
          </w:p>
        </w:tc>
        <w:tc>
          <w:tcPr>
            <w:cnfStyle w:val="000010000000" w:firstRow="0" w:lastRow="0" w:firstColumn="0" w:lastColumn="0" w:oddVBand="1" w:evenVBand="0" w:oddHBand="0" w:evenHBand="0" w:firstRowFirstColumn="0" w:firstRowLastColumn="0" w:lastRowFirstColumn="0" w:lastRowLastColumn="0"/>
            <w:tcW w:w="2127" w:type="dxa"/>
          </w:tcPr>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lang w:val="sr-Cyrl-BA"/>
              </w:rPr>
              <w:t xml:space="preserve">Dozvola izdata </w:t>
            </w:r>
            <w:r w:rsidRPr="008144B0">
              <w:rPr>
                <w:rFonts w:asciiTheme="minorHAnsi" w:hAnsiTheme="minorHAnsi"/>
                <w:sz w:val="20"/>
                <w:szCs w:val="20"/>
              </w:rPr>
              <w:t>07.11.2024</w:t>
            </w:r>
            <w:r w:rsidRPr="008144B0">
              <w:rPr>
                <w:rFonts w:asciiTheme="minorHAnsi" w:hAnsiTheme="minorHAnsi"/>
                <w:sz w:val="20"/>
                <w:szCs w:val="20"/>
                <w:lang w:val="sr-Cyrl-BA"/>
              </w:rPr>
              <w:t xml:space="preserve">. na period od pet godina </w:t>
            </w:r>
          </w:p>
        </w:tc>
        <w:tc>
          <w:tcPr>
            <w:cnfStyle w:val="000100000000" w:firstRow="0" w:lastRow="0" w:firstColumn="0" w:lastColumn="1" w:oddVBand="0" w:evenVBand="0" w:oddHBand="0" w:evenHBand="0" w:firstRowFirstColumn="0" w:firstRowLastColumn="0" w:lastRowFirstColumn="0" w:lastRowLastColumn="0"/>
            <w:tcW w:w="2552" w:type="dxa"/>
          </w:tcPr>
          <w:p w:rsidR="005A1B74" w:rsidRPr="00621793" w:rsidRDefault="005A1B74" w:rsidP="002D1E7C">
            <w:pPr>
              <w:jc w:val="center"/>
              <w:rPr>
                <w:rFonts w:asciiTheme="minorHAnsi" w:hAnsiTheme="minorHAnsi"/>
                <w:b w:val="0"/>
                <w:sz w:val="18"/>
                <w:szCs w:val="18"/>
                <w:lang w:val="sr-Cyrl-BA"/>
              </w:rPr>
            </w:pPr>
            <w:r w:rsidRPr="00621793">
              <w:rPr>
                <w:rFonts w:asciiTheme="minorHAnsi" w:hAnsiTheme="minorHAnsi"/>
                <w:b w:val="0"/>
                <w:sz w:val="18"/>
                <w:szCs w:val="18"/>
                <w:lang w:val="sr-Cyrl-BA"/>
              </w:rPr>
              <w:t>Dozvola izdata</w:t>
            </w:r>
            <w:r w:rsidRPr="00621793">
              <w:rPr>
                <w:rFonts w:asciiTheme="minorHAnsi" w:hAnsiTheme="minorHAnsi"/>
                <w:b w:val="0"/>
                <w:sz w:val="18"/>
                <w:szCs w:val="18"/>
                <w:lang w:val="sr-Latn-BA"/>
              </w:rPr>
              <w:t xml:space="preserve"> </w:t>
            </w:r>
            <w:r w:rsidRPr="00621793">
              <w:rPr>
                <w:rFonts w:asciiTheme="minorHAnsi" w:hAnsiTheme="minorHAnsi"/>
                <w:b w:val="0"/>
                <w:sz w:val="18"/>
                <w:szCs w:val="18"/>
                <w:lang w:val="sr-Cyrl-BA"/>
              </w:rPr>
              <w:t>prvi put</w:t>
            </w:r>
          </w:p>
          <w:p w:rsidR="005A1B74" w:rsidRPr="00621793" w:rsidRDefault="005A1B74" w:rsidP="002D1E7C">
            <w:pPr>
              <w:jc w:val="center"/>
              <w:rPr>
                <w:rFonts w:asciiTheme="minorHAnsi" w:hAnsiTheme="minorHAnsi"/>
                <w:b w:val="0"/>
                <w:sz w:val="20"/>
                <w:szCs w:val="20"/>
                <w:lang w:val="sr-Cyrl-BA"/>
              </w:rPr>
            </w:pPr>
            <w:r w:rsidRPr="00621793">
              <w:rPr>
                <w:rFonts w:asciiTheme="minorHAnsi" w:hAnsiTheme="minorHAnsi"/>
                <w:b w:val="0"/>
                <w:sz w:val="18"/>
                <w:szCs w:val="18"/>
                <w:lang w:val="sr-Cyrl-BA"/>
              </w:rPr>
              <w:t xml:space="preserve"> (dozvola obuhvatila proizvodne objekte   </w:t>
            </w:r>
            <w:r w:rsidRPr="00621793">
              <w:rPr>
                <w:rFonts w:asciiTheme="minorHAnsi" w:hAnsiTheme="minorHAnsi"/>
                <w:b w:val="0"/>
                <w:iCs/>
                <w:sz w:val="18"/>
                <w:szCs w:val="18"/>
                <w:lang w:val="sr-Cyrl-BA"/>
              </w:rPr>
              <w:t xml:space="preserve">MSE </w:t>
            </w:r>
            <w:r w:rsidRPr="00621793">
              <w:rPr>
                <w:rFonts w:asciiTheme="minorHAnsi" w:hAnsiTheme="minorHAnsi"/>
                <w:b w:val="0"/>
                <w:iCs/>
                <w:sz w:val="18"/>
                <w:szCs w:val="18"/>
              </w:rPr>
              <w:t>50 kW "MSE COMP ASTOR 50 kW"</w:t>
            </w:r>
            <w:r w:rsidRPr="00621793">
              <w:rPr>
                <w:rFonts w:asciiTheme="minorHAnsi" w:hAnsiTheme="minorHAnsi"/>
                <w:b w:val="0"/>
                <w:iCs/>
                <w:sz w:val="18"/>
                <w:szCs w:val="18"/>
                <w:lang w:val="sr-Cyrl-BA"/>
              </w:rPr>
              <w:t xml:space="preserve">, MSE </w:t>
            </w:r>
            <w:r w:rsidRPr="00621793">
              <w:rPr>
                <w:rFonts w:asciiTheme="minorHAnsi" w:hAnsiTheme="minorHAnsi"/>
                <w:b w:val="0"/>
                <w:iCs/>
                <w:sz w:val="18"/>
                <w:szCs w:val="18"/>
              </w:rPr>
              <w:t>"COMP ASTOR 2 50 kW"</w:t>
            </w:r>
            <w:r w:rsidRPr="00621793">
              <w:rPr>
                <w:rFonts w:asciiTheme="minorHAnsi" w:hAnsiTheme="minorHAnsi"/>
                <w:b w:val="0"/>
                <w:iCs/>
                <w:sz w:val="18"/>
                <w:szCs w:val="18"/>
                <w:lang w:val="sr-Cyrl-BA"/>
              </w:rPr>
              <w:t xml:space="preserve">, MSE </w:t>
            </w:r>
            <w:r w:rsidRPr="00621793">
              <w:rPr>
                <w:rFonts w:asciiTheme="minorHAnsi" w:hAnsiTheme="minorHAnsi"/>
                <w:b w:val="0"/>
                <w:iCs/>
                <w:sz w:val="18"/>
                <w:szCs w:val="18"/>
              </w:rPr>
              <w:t>"COMP ASTOR 3</w:t>
            </w:r>
            <w:r w:rsidRPr="00621793">
              <w:rPr>
                <w:rFonts w:asciiTheme="minorHAnsi" w:hAnsiTheme="minorHAnsi"/>
                <w:b w:val="0"/>
                <w:iCs/>
                <w:sz w:val="18"/>
                <w:szCs w:val="18"/>
                <w:lang w:val="sr-Cyrl-BA"/>
              </w:rPr>
              <w:t>-7</w:t>
            </w:r>
            <w:r w:rsidRPr="00621793">
              <w:rPr>
                <w:rFonts w:asciiTheme="minorHAnsi" w:hAnsiTheme="minorHAnsi"/>
                <w:b w:val="0"/>
                <w:iCs/>
                <w:sz w:val="18"/>
                <w:szCs w:val="18"/>
              </w:rPr>
              <w:t>"</w:t>
            </w:r>
            <w:r w:rsidRPr="00621793">
              <w:rPr>
                <w:rFonts w:asciiTheme="minorHAnsi" w:hAnsiTheme="minorHAnsi"/>
                <w:b w:val="0"/>
                <w:iCs/>
                <w:sz w:val="18"/>
                <w:szCs w:val="18"/>
                <w:lang w:val="sr-Cyrl-BA"/>
              </w:rPr>
              <w:t>)</w:t>
            </w:r>
          </w:p>
        </w:tc>
      </w:tr>
      <w:tr w:rsidR="005A1B74" w:rsidRPr="008144B0" w:rsidTr="0062179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659" w:type="dxa"/>
          </w:tcPr>
          <w:p w:rsidR="005A1B74" w:rsidRPr="008144B0" w:rsidRDefault="005A1B74" w:rsidP="002D1E7C">
            <w:pPr>
              <w:jc w:val="center"/>
              <w:rPr>
                <w:rFonts w:asciiTheme="minorHAnsi" w:hAnsiTheme="minorHAnsi" w:cs="Calibri"/>
                <w:sz w:val="20"/>
                <w:szCs w:val="20"/>
                <w:lang w:val="sr-Cyrl-BA"/>
              </w:rPr>
            </w:pPr>
            <w:r w:rsidRPr="008144B0">
              <w:rPr>
                <w:rFonts w:asciiTheme="minorHAnsi" w:hAnsiTheme="minorHAnsi" w:cs="Calibri"/>
                <w:sz w:val="20"/>
                <w:szCs w:val="20"/>
                <w:lang w:val="sr-Cyrl-BA"/>
              </w:rPr>
              <w:t>13. *</w:t>
            </w:r>
          </w:p>
        </w:tc>
        <w:tc>
          <w:tcPr>
            <w:cnfStyle w:val="000010000000" w:firstRow="0" w:lastRow="0" w:firstColumn="0" w:lastColumn="0" w:oddVBand="1" w:evenVBand="0" w:oddHBand="0" w:evenHBand="0" w:firstRowFirstColumn="0" w:firstRowLastColumn="0" w:lastRowFirstColumn="0" w:lastRowLastColumn="0"/>
            <w:tcW w:w="2403" w:type="dxa"/>
          </w:tcPr>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rPr>
              <w:t>"EHE" d.o.o. Banja Luka</w:t>
            </w:r>
          </w:p>
        </w:tc>
        <w:tc>
          <w:tcPr>
            <w:tcW w:w="2041" w:type="dxa"/>
          </w:tcPr>
          <w:p w:rsidR="005A1B74" w:rsidRPr="008144B0" w:rsidRDefault="005A1B74" w:rsidP="002D1E7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proizvodnja električne energije</w:t>
            </w:r>
          </w:p>
        </w:tc>
        <w:tc>
          <w:tcPr>
            <w:cnfStyle w:val="000010000000" w:firstRow="0" w:lastRow="0" w:firstColumn="0" w:lastColumn="0" w:oddVBand="1" w:evenVBand="0" w:oddHBand="0" w:evenHBand="0" w:firstRowFirstColumn="0" w:firstRowLastColumn="0" w:lastRowFirstColumn="0" w:lastRowLastColumn="0"/>
            <w:tcW w:w="2127" w:type="dxa"/>
          </w:tcPr>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lang w:val="sr-Cyrl-BA"/>
              </w:rPr>
              <w:t>Dozvola izdata 30</w:t>
            </w:r>
            <w:r w:rsidRPr="008144B0">
              <w:rPr>
                <w:rFonts w:asciiTheme="minorHAnsi" w:hAnsiTheme="minorHAnsi"/>
                <w:sz w:val="20"/>
                <w:szCs w:val="20"/>
              </w:rPr>
              <w:t>.11.2024</w:t>
            </w:r>
            <w:r w:rsidRPr="008144B0">
              <w:rPr>
                <w:rFonts w:asciiTheme="minorHAnsi" w:hAnsiTheme="minorHAnsi"/>
                <w:sz w:val="20"/>
                <w:szCs w:val="20"/>
                <w:lang w:val="sr-Cyrl-BA"/>
              </w:rPr>
              <w:t>. na period do 22.01.2028. godine</w:t>
            </w:r>
          </w:p>
        </w:tc>
        <w:tc>
          <w:tcPr>
            <w:cnfStyle w:val="000100000000" w:firstRow="0" w:lastRow="0" w:firstColumn="0" w:lastColumn="1" w:oddVBand="0" w:evenVBand="0" w:oddHBand="0" w:evenHBand="0" w:firstRowFirstColumn="0" w:firstRowLastColumn="0" w:lastRowFirstColumn="0" w:lastRowLastColumn="0"/>
            <w:tcW w:w="2552" w:type="dxa"/>
          </w:tcPr>
          <w:p w:rsidR="005A1B74" w:rsidRPr="00621793" w:rsidRDefault="005A1B74" w:rsidP="002D1E7C">
            <w:pPr>
              <w:jc w:val="center"/>
              <w:rPr>
                <w:rFonts w:asciiTheme="minorHAnsi" w:hAnsiTheme="minorHAnsi"/>
                <w:b w:val="0"/>
                <w:sz w:val="18"/>
                <w:szCs w:val="18"/>
                <w:lang w:val="sr-Cyrl-BA"/>
              </w:rPr>
            </w:pPr>
            <w:r w:rsidRPr="00621793">
              <w:rPr>
                <w:rFonts w:asciiTheme="minorHAnsi" w:hAnsiTheme="minorHAnsi"/>
                <w:b w:val="0"/>
                <w:sz w:val="18"/>
                <w:szCs w:val="18"/>
                <w:lang w:val="sr-Cyrl-BA"/>
              </w:rPr>
              <w:t>Produženje dozvole</w:t>
            </w:r>
          </w:p>
          <w:p w:rsidR="005A1B74" w:rsidRPr="00621793" w:rsidRDefault="005A1B74" w:rsidP="002D1E7C">
            <w:pPr>
              <w:jc w:val="center"/>
              <w:rPr>
                <w:rFonts w:asciiTheme="minorHAnsi" w:hAnsiTheme="minorHAnsi"/>
                <w:b w:val="0"/>
                <w:iCs/>
                <w:sz w:val="18"/>
                <w:szCs w:val="18"/>
                <w:lang w:val="sr-Cyrl-BA"/>
              </w:rPr>
            </w:pPr>
            <w:r w:rsidRPr="00621793">
              <w:rPr>
                <w:rFonts w:asciiTheme="minorHAnsi" w:hAnsiTheme="minorHAnsi"/>
                <w:b w:val="0"/>
                <w:sz w:val="18"/>
                <w:szCs w:val="18"/>
                <w:lang w:val="sr-Cyrl-BA"/>
              </w:rPr>
              <w:t xml:space="preserve">(dozvola obuhvatila proizvodne objekte </w:t>
            </w:r>
            <w:r w:rsidRPr="00621793">
              <w:rPr>
                <w:rFonts w:asciiTheme="minorHAnsi" w:hAnsiTheme="minorHAnsi"/>
                <w:b w:val="0"/>
                <w:iCs/>
                <w:sz w:val="18"/>
                <w:szCs w:val="18"/>
                <w:lang w:val="sr-Cyrl-BA"/>
              </w:rPr>
              <w:t>MHE „</w:t>
            </w:r>
            <w:r w:rsidRPr="00621793">
              <w:rPr>
                <w:rFonts w:asciiTheme="minorHAnsi" w:hAnsiTheme="minorHAnsi"/>
                <w:b w:val="0"/>
                <w:iCs/>
                <w:sz w:val="18"/>
                <w:szCs w:val="18"/>
              </w:rPr>
              <w:t>Novakovići</w:t>
            </w:r>
            <w:r w:rsidRPr="00621793">
              <w:rPr>
                <w:rFonts w:asciiTheme="minorHAnsi" w:hAnsiTheme="minorHAnsi"/>
                <w:b w:val="0"/>
                <w:iCs/>
                <w:sz w:val="18"/>
                <w:szCs w:val="18"/>
                <w:lang w:val="sr-Cyrl-BA"/>
              </w:rPr>
              <w:t>“, MHE „</w:t>
            </w:r>
            <w:r w:rsidRPr="00621793">
              <w:rPr>
                <w:rFonts w:asciiTheme="minorHAnsi" w:hAnsiTheme="minorHAnsi"/>
                <w:b w:val="0"/>
                <w:iCs/>
                <w:sz w:val="18"/>
                <w:szCs w:val="18"/>
              </w:rPr>
              <w:t>Zapeće</w:t>
            </w:r>
            <w:r w:rsidRPr="00621793">
              <w:rPr>
                <w:rFonts w:asciiTheme="minorHAnsi" w:hAnsiTheme="minorHAnsi"/>
                <w:b w:val="0"/>
                <w:iCs/>
                <w:sz w:val="18"/>
                <w:szCs w:val="18"/>
                <w:lang w:val="sr-Cyrl-BA"/>
              </w:rPr>
              <w:t>“  i</w:t>
            </w:r>
          </w:p>
          <w:p w:rsidR="005A1B74" w:rsidRPr="00621793" w:rsidRDefault="005A1B74" w:rsidP="002D1E7C">
            <w:pPr>
              <w:ind w:left="-84" w:right="-95"/>
              <w:jc w:val="center"/>
              <w:rPr>
                <w:rFonts w:asciiTheme="minorHAnsi" w:hAnsiTheme="minorHAnsi"/>
                <w:b w:val="0"/>
                <w:sz w:val="20"/>
                <w:szCs w:val="20"/>
                <w:lang w:val="sr-Cyrl-BA"/>
              </w:rPr>
            </w:pPr>
            <w:r w:rsidRPr="00621793">
              <w:rPr>
                <w:rFonts w:asciiTheme="minorHAnsi" w:hAnsiTheme="minorHAnsi"/>
                <w:b w:val="0"/>
                <w:iCs/>
                <w:sz w:val="18"/>
                <w:szCs w:val="18"/>
                <w:lang w:val="sr-Cyrl-BA"/>
              </w:rPr>
              <w:t>MHE „</w:t>
            </w:r>
            <w:r w:rsidRPr="00621793">
              <w:rPr>
                <w:rFonts w:asciiTheme="minorHAnsi" w:hAnsiTheme="minorHAnsi"/>
                <w:b w:val="0"/>
                <w:iCs/>
                <w:sz w:val="18"/>
                <w:szCs w:val="18"/>
              </w:rPr>
              <w:t>Medna</w:t>
            </w:r>
            <w:r w:rsidRPr="00621793">
              <w:rPr>
                <w:rFonts w:asciiTheme="minorHAnsi" w:hAnsiTheme="minorHAnsi"/>
                <w:b w:val="0"/>
                <w:iCs/>
                <w:sz w:val="18"/>
                <w:szCs w:val="18"/>
                <w:lang w:val="sr-Cyrl-BA"/>
              </w:rPr>
              <w:t>“)</w:t>
            </w:r>
          </w:p>
        </w:tc>
      </w:tr>
      <w:tr w:rsidR="005A1B74" w:rsidRPr="008144B0" w:rsidTr="00621793">
        <w:trPr>
          <w:trHeight w:val="807"/>
        </w:trPr>
        <w:tc>
          <w:tcPr>
            <w:cnfStyle w:val="001000000000" w:firstRow="0" w:lastRow="0" w:firstColumn="1" w:lastColumn="0" w:oddVBand="0" w:evenVBand="0" w:oddHBand="0" w:evenHBand="0" w:firstRowFirstColumn="0" w:firstRowLastColumn="0" w:lastRowFirstColumn="0" w:lastRowLastColumn="0"/>
            <w:tcW w:w="659" w:type="dxa"/>
          </w:tcPr>
          <w:p w:rsidR="005A1B74" w:rsidRPr="008144B0" w:rsidRDefault="005A1B74" w:rsidP="002D1E7C">
            <w:pPr>
              <w:jc w:val="center"/>
              <w:rPr>
                <w:rFonts w:asciiTheme="minorHAnsi" w:hAnsiTheme="minorHAnsi" w:cs="Calibri"/>
                <w:sz w:val="20"/>
                <w:szCs w:val="20"/>
                <w:lang w:val="sr-Cyrl-BA"/>
              </w:rPr>
            </w:pPr>
            <w:r w:rsidRPr="008144B0">
              <w:rPr>
                <w:rFonts w:asciiTheme="minorHAnsi" w:hAnsiTheme="minorHAnsi" w:cs="Calibri"/>
                <w:sz w:val="20"/>
                <w:szCs w:val="20"/>
                <w:lang w:val="sr-Cyrl-BA"/>
              </w:rPr>
              <w:t>14. *</w:t>
            </w:r>
          </w:p>
        </w:tc>
        <w:tc>
          <w:tcPr>
            <w:cnfStyle w:val="000010000000" w:firstRow="0" w:lastRow="0" w:firstColumn="0" w:lastColumn="0" w:oddVBand="1" w:evenVBand="0" w:oddHBand="0" w:evenHBand="0" w:firstRowFirstColumn="0" w:firstRowLastColumn="0" w:lastRowFirstColumn="0" w:lastRowLastColumn="0"/>
            <w:tcW w:w="2403" w:type="dxa"/>
          </w:tcPr>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lang w:val="sr-Cyrl-BA"/>
              </w:rPr>
              <w:t>"NOVAKOVIĆ ENERGO-TRADE" d.o.o Modriča</w:t>
            </w:r>
          </w:p>
        </w:tc>
        <w:tc>
          <w:tcPr>
            <w:tcW w:w="2041" w:type="dxa"/>
          </w:tcPr>
          <w:p w:rsidR="005A1B74" w:rsidRPr="008144B0" w:rsidRDefault="005A1B74" w:rsidP="002D1E7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proizvodnja električne energije</w:t>
            </w:r>
          </w:p>
        </w:tc>
        <w:tc>
          <w:tcPr>
            <w:cnfStyle w:val="000010000000" w:firstRow="0" w:lastRow="0" w:firstColumn="0" w:lastColumn="0" w:oddVBand="1" w:evenVBand="0" w:oddHBand="0" w:evenHBand="0" w:firstRowFirstColumn="0" w:firstRowLastColumn="0" w:lastRowFirstColumn="0" w:lastRowLastColumn="0"/>
            <w:tcW w:w="2127" w:type="dxa"/>
          </w:tcPr>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lang w:val="sr-Cyrl-BA"/>
              </w:rPr>
              <w:t xml:space="preserve">Zahtjev za izdavanje dozvole podnesen </w:t>
            </w:r>
            <w:r w:rsidRPr="008144B0">
              <w:rPr>
                <w:rFonts w:asciiTheme="minorHAnsi" w:hAnsiTheme="minorHAnsi"/>
                <w:sz w:val="20"/>
                <w:szCs w:val="20"/>
              </w:rPr>
              <w:t>05.12.202</w:t>
            </w:r>
            <w:r w:rsidRPr="008144B0">
              <w:rPr>
                <w:rFonts w:asciiTheme="minorHAnsi" w:hAnsiTheme="minorHAnsi"/>
                <w:sz w:val="20"/>
                <w:szCs w:val="20"/>
                <w:lang w:val="sr-Cyrl-BA"/>
              </w:rPr>
              <w:t xml:space="preserve">4. godine     </w:t>
            </w:r>
          </w:p>
        </w:tc>
        <w:tc>
          <w:tcPr>
            <w:cnfStyle w:val="000100000000" w:firstRow="0" w:lastRow="0" w:firstColumn="0" w:lastColumn="1" w:oddVBand="0" w:evenVBand="0" w:oddHBand="0" w:evenHBand="0" w:firstRowFirstColumn="0" w:firstRowLastColumn="0" w:lastRowFirstColumn="0" w:lastRowLastColumn="0"/>
            <w:tcW w:w="2552" w:type="dxa"/>
          </w:tcPr>
          <w:p w:rsidR="005A1B74" w:rsidRPr="00621793" w:rsidRDefault="005A1B74" w:rsidP="002D1E7C">
            <w:pPr>
              <w:ind w:left="-84" w:right="-95"/>
              <w:jc w:val="center"/>
              <w:rPr>
                <w:rFonts w:asciiTheme="minorHAnsi" w:hAnsiTheme="minorHAnsi"/>
                <w:b w:val="0"/>
                <w:color w:val="auto"/>
                <w:sz w:val="18"/>
                <w:szCs w:val="18"/>
                <w:lang w:val="sr-Cyrl-BA"/>
              </w:rPr>
            </w:pPr>
            <w:r w:rsidRPr="00621793">
              <w:rPr>
                <w:rFonts w:asciiTheme="minorHAnsi" w:hAnsiTheme="minorHAnsi"/>
                <w:b w:val="0"/>
                <w:sz w:val="18"/>
                <w:szCs w:val="18"/>
                <w:lang w:val="sr-Cyrl-BA"/>
              </w:rPr>
              <w:t>Postupak završen početkom 2025. godine</w:t>
            </w:r>
          </w:p>
          <w:p w:rsidR="005A1B74" w:rsidRPr="00621793" w:rsidRDefault="005A1B74" w:rsidP="002D1E7C">
            <w:pPr>
              <w:jc w:val="center"/>
              <w:rPr>
                <w:rFonts w:asciiTheme="minorHAnsi" w:hAnsiTheme="minorHAnsi"/>
                <w:b w:val="0"/>
                <w:sz w:val="20"/>
                <w:szCs w:val="20"/>
                <w:lang w:val="sr-Cyrl-BA"/>
              </w:rPr>
            </w:pPr>
            <w:r w:rsidRPr="00621793">
              <w:rPr>
                <w:rFonts w:asciiTheme="minorHAnsi" w:hAnsiTheme="minorHAnsi"/>
                <w:b w:val="0"/>
                <w:sz w:val="18"/>
                <w:szCs w:val="18"/>
                <w:lang w:val="sr-Cyrl-BA"/>
              </w:rPr>
              <w:t xml:space="preserve">(dozvola obuhvatila proizvodne objekte   </w:t>
            </w:r>
            <w:r w:rsidRPr="00621793">
              <w:rPr>
                <w:rFonts w:asciiTheme="minorHAnsi" w:hAnsiTheme="minorHAnsi"/>
                <w:b w:val="0"/>
                <w:iCs/>
                <w:sz w:val="18"/>
                <w:szCs w:val="18"/>
                <w:lang w:val="sr-Cyrl-BA"/>
              </w:rPr>
              <w:t>MSE „Novaković 1-15“</w:t>
            </w:r>
            <w:r w:rsidRPr="00621793">
              <w:rPr>
                <w:rFonts w:asciiTheme="minorHAnsi" w:hAnsiTheme="minorHAnsi"/>
                <w:b w:val="0"/>
                <w:sz w:val="18"/>
                <w:szCs w:val="18"/>
                <w:lang w:val="sr-Cyrl-BA"/>
              </w:rPr>
              <w:t>)</w:t>
            </w:r>
          </w:p>
        </w:tc>
      </w:tr>
      <w:tr w:rsidR="005A1B74" w:rsidRPr="008144B0" w:rsidTr="00621793">
        <w:trPr>
          <w:cnfStyle w:val="000000100000" w:firstRow="0" w:lastRow="0" w:firstColumn="0" w:lastColumn="0" w:oddVBand="0" w:evenVBand="0" w:oddHBand="1" w:evenHBand="0" w:firstRowFirstColumn="0" w:firstRowLastColumn="0" w:lastRowFirstColumn="0" w:lastRowLastColumn="0"/>
          <w:trHeight w:val="807"/>
        </w:trPr>
        <w:tc>
          <w:tcPr>
            <w:cnfStyle w:val="001000000000" w:firstRow="0" w:lastRow="0" w:firstColumn="1" w:lastColumn="0" w:oddVBand="0" w:evenVBand="0" w:oddHBand="0" w:evenHBand="0" w:firstRowFirstColumn="0" w:firstRowLastColumn="0" w:lastRowFirstColumn="0" w:lastRowLastColumn="0"/>
            <w:tcW w:w="659" w:type="dxa"/>
          </w:tcPr>
          <w:p w:rsidR="005A1B74" w:rsidRPr="008144B0" w:rsidRDefault="005A1B74" w:rsidP="002D1E7C">
            <w:pPr>
              <w:jc w:val="center"/>
              <w:rPr>
                <w:rFonts w:asciiTheme="minorHAnsi" w:hAnsiTheme="minorHAnsi" w:cs="Calibri"/>
                <w:sz w:val="20"/>
                <w:szCs w:val="20"/>
                <w:lang w:val="sr-Cyrl-BA"/>
              </w:rPr>
            </w:pPr>
            <w:r w:rsidRPr="008144B0">
              <w:rPr>
                <w:rFonts w:asciiTheme="minorHAnsi" w:hAnsiTheme="minorHAnsi" w:cs="Calibri"/>
                <w:sz w:val="20"/>
                <w:szCs w:val="20"/>
                <w:lang w:val="bs-Latn-BA"/>
              </w:rPr>
              <w:t>15.</w:t>
            </w:r>
            <w:r w:rsidRPr="008144B0">
              <w:rPr>
                <w:rFonts w:asciiTheme="minorHAnsi" w:hAnsiTheme="minorHAnsi" w:cs="Calibri"/>
                <w:sz w:val="20"/>
                <w:szCs w:val="20"/>
                <w:lang w:val="sr-Cyrl-BA"/>
              </w:rPr>
              <w:t xml:space="preserve"> *</w:t>
            </w:r>
          </w:p>
        </w:tc>
        <w:tc>
          <w:tcPr>
            <w:cnfStyle w:val="000010000000" w:firstRow="0" w:lastRow="0" w:firstColumn="0" w:lastColumn="0" w:oddVBand="1" w:evenVBand="0" w:oddHBand="0" w:evenHBand="0" w:firstRowFirstColumn="0" w:firstRowLastColumn="0" w:lastRowFirstColumn="0" w:lastRowLastColumn="0"/>
            <w:tcW w:w="2403" w:type="dxa"/>
          </w:tcPr>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rPr>
              <w:t>D.O.O " TESLA" Modriča</w:t>
            </w:r>
          </w:p>
        </w:tc>
        <w:tc>
          <w:tcPr>
            <w:tcW w:w="2041" w:type="dxa"/>
          </w:tcPr>
          <w:p w:rsidR="005A1B74" w:rsidRPr="008144B0" w:rsidRDefault="005A1B74" w:rsidP="002D1E7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proizvodnja električne energije</w:t>
            </w:r>
          </w:p>
        </w:tc>
        <w:tc>
          <w:tcPr>
            <w:cnfStyle w:val="000010000000" w:firstRow="0" w:lastRow="0" w:firstColumn="0" w:lastColumn="0" w:oddVBand="1" w:evenVBand="0" w:oddHBand="0" w:evenHBand="0" w:firstRowFirstColumn="0" w:firstRowLastColumn="0" w:lastRowFirstColumn="0" w:lastRowLastColumn="0"/>
            <w:tcW w:w="2127" w:type="dxa"/>
          </w:tcPr>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lang w:val="sr-Cyrl-BA"/>
              </w:rPr>
              <w:t>Dozvola izdata 06.12.2024. na period od pet godina</w:t>
            </w:r>
          </w:p>
        </w:tc>
        <w:tc>
          <w:tcPr>
            <w:cnfStyle w:val="000100000000" w:firstRow="0" w:lastRow="0" w:firstColumn="0" w:lastColumn="1" w:oddVBand="0" w:evenVBand="0" w:oddHBand="0" w:evenHBand="0" w:firstRowFirstColumn="0" w:firstRowLastColumn="0" w:lastRowFirstColumn="0" w:lastRowLastColumn="0"/>
            <w:tcW w:w="2552" w:type="dxa"/>
          </w:tcPr>
          <w:p w:rsidR="005A1B74" w:rsidRPr="00621793" w:rsidRDefault="005A1B74" w:rsidP="002D1E7C">
            <w:pPr>
              <w:jc w:val="center"/>
              <w:rPr>
                <w:rFonts w:asciiTheme="minorHAnsi" w:hAnsiTheme="minorHAnsi"/>
                <w:b w:val="0"/>
                <w:sz w:val="18"/>
                <w:szCs w:val="18"/>
                <w:lang w:val="sr-Cyrl-BA"/>
              </w:rPr>
            </w:pPr>
            <w:r w:rsidRPr="00621793">
              <w:rPr>
                <w:rFonts w:asciiTheme="minorHAnsi" w:hAnsiTheme="minorHAnsi"/>
                <w:b w:val="0"/>
                <w:sz w:val="18"/>
                <w:szCs w:val="18"/>
                <w:lang w:val="sr-Cyrl-BA"/>
              </w:rPr>
              <w:t>Dozvola izdata</w:t>
            </w:r>
            <w:r w:rsidRPr="00621793">
              <w:rPr>
                <w:rFonts w:asciiTheme="minorHAnsi" w:hAnsiTheme="minorHAnsi"/>
                <w:b w:val="0"/>
                <w:sz w:val="18"/>
                <w:szCs w:val="18"/>
                <w:lang w:val="sr-Latn-BA"/>
              </w:rPr>
              <w:t xml:space="preserve"> </w:t>
            </w:r>
            <w:r w:rsidRPr="00621793">
              <w:rPr>
                <w:rFonts w:asciiTheme="minorHAnsi" w:hAnsiTheme="minorHAnsi"/>
                <w:b w:val="0"/>
                <w:sz w:val="18"/>
                <w:szCs w:val="18"/>
                <w:lang w:val="sr-Cyrl-BA"/>
              </w:rPr>
              <w:t>prvi put</w:t>
            </w:r>
          </w:p>
          <w:p w:rsidR="005A1B74" w:rsidRPr="00621793" w:rsidRDefault="005A1B74" w:rsidP="002D1E7C">
            <w:pPr>
              <w:ind w:left="-84" w:right="-95"/>
              <w:jc w:val="center"/>
              <w:rPr>
                <w:rFonts w:asciiTheme="minorHAnsi" w:hAnsiTheme="minorHAnsi"/>
                <w:b w:val="0"/>
                <w:sz w:val="18"/>
                <w:szCs w:val="18"/>
                <w:lang w:val="sr-Cyrl-BA"/>
              </w:rPr>
            </w:pPr>
            <w:r w:rsidRPr="00621793" w:rsidDel="00ED5F2E">
              <w:rPr>
                <w:rFonts w:asciiTheme="minorHAnsi" w:hAnsiTheme="minorHAnsi"/>
                <w:b w:val="0"/>
                <w:sz w:val="18"/>
                <w:szCs w:val="18"/>
                <w:lang w:val="sr-Cyrl-BA"/>
              </w:rPr>
              <w:t xml:space="preserve"> </w:t>
            </w:r>
            <w:r w:rsidRPr="00621793">
              <w:rPr>
                <w:rFonts w:asciiTheme="minorHAnsi" w:hAnsiTheme="minorHAnsi"/>
                <w:b w:val="0"/>
                <w:sz w:val="18"/>
                <w:szCs w:val="18"/>
                <w:lang w:val="sr-Cyrl-BA"/>
              </w:rPr>
              <w:t xml:space="preserve">(dozvola obuhvatila proizvodne objekte </w:t>
            </w:r>
          </w:p>
          <w:p w:rsidR="005A1B74" w:rsidRPr="00621793" w:rsidRDefault="005A1B74" w:rsidP="002D1E7C">
            <w:pPr>
              <w:ind w:left="-84" w:right="-95"/>
              <w:jc w:val="center"/>
              <w:rPr>
                <w:rFonts w:asciiTheme="minorHAnsi" w:hAnsiTheme="minorHAnsi"/>
                <w:b w:val="0"/>
                <w:sz w:val="20"/>
                <w:szCs w:val="20"/>
                <w:lang w:val="sr-Cyrl-BA"/>
              </w:rPr>
            </w:pPr>
            <w:r w:rsidRPr="00621793">
              <w:rPr>
                <w:rFonts w:asciiTheme="minorHAnsi" w:hAnsiTheme="minorHAnsi"/>
                <w:b w:val="0"/>
                <w:iCs/>
                <w:sz w:val="18"/>
                <w:szCs w:val="18"/>
                <w:lang w:val="sr-Cyrl-BA"/>
              </w:rPr>
              <w:t>MSE "Tesla 1,2,3,4,5,7,8,9,10,11,12" i MSE „Batkovići 3,4,8 i 9“)</w:t>
            </w:r>
          </w:p>
        </w:tc>
      </w:tr>
      <w:tr w:rsidR="005A1B74" w:rsidRPr="008144B0" w:rsidTr="00621793">
        <w:trPr>
          <w:trHeight w:val="807"/>
        </w:trPr>
        <w:tc>
          <w:tcPr>
            <w:cnfStyle w:val="001000000000" w:firstRow="0" w:lastRow="0" w:firstColumn="1" w:lastColumn="0" w:oddVBand="0" w:evenVBand="0" w:oddHBand="0" w:evenHBand="0" w:firstRowFirstColumn="0" w:firstRowLastColumn="0" w:lastRowFirstColumn="0" w:lastRowLastColumn="0"/>
            <w:tcW w:w="659" w:type="dxa"/>
          </w:tcPr>
          <w:p w:rsidR="005A1B74" w:rsidRPr="008144B0" w:rsidRDefault="005A1B74" w:rsidP="002D1E7C">
            <w:pPr>
              <w:jc w:val="center"/>
              <w:rPr>
                <w:rFonts w:asciiTheme="minorHAnsi" w:hAnsiTheme="minorHAnsi" w:cs="Calibri"/>
                <w:sz w:val="20"/>
                <w:szCs w:val="20"/>
                <w:lang w:val="bs-Latn-BA"/>
              </w:rPr>
            </w:pPr>
            <w:r w:rsidRPr="008144B0">
              <w:rPr>
                <w:rFonts w:asciiTheme="minorHAnsi" w:hAnsiTheme="minorHAnsi" w:cs="Calibri"/>
                <w:sz w:val="20"/>
                <w:szCs w:val="20"/>
                <w:lang w:val="bs-Latn-BA"/>
              </w:rPr>
              <w:t>16.</w:t>
            </w:r>
          </w:p>
        </w:tc>
        <w:tc>
          <w:tcPr>
            <w:cnfStyle w:val="000010000000" w:firstRow="0" w:lastRow="0" w:firstColumn="0" w:lastColumn="0" w:oddVBand="1" w:evenVBand="0" w:oddHBand="0" w:evenHBand="0" w:firstRowFirstColumn="0" w:firstRowLastColumn="0" w:lastRowFirstColumn="0" w:lastRowLastColumn="0"/>
            <w:tcW w:w="2403" w:type="dxa"/>
          </w:tcPr>
          <w:p w:rsidR="005A1B74" w:rsidRPr="008144B0" w:rsidRDefault="005A1B74" w:rsidP="002D1E7C">
            <w:pPr>
              <w:jc w:val="center"/>
              <w:rPr>
                <w:rFonts w:asciiTheme="minorHAnsi" w:hAnsiTheme="minorHAnsi"/>
                <w:sz w:val="20"/>
                <w:szCs w:val="20"/>
              </w:rPr>
            </w:pPr>
            <w:r w:rsidRPr="008144B0">
              <w:rPr>
                <w:rFonts w:asciiTheme="minorHAnsi" w:hAnsiTheme="minorHAnsi"/>
                <w:sz w:val="20"/>
                <w:szCs w:val="20"/>
              </w:rPr>
              <w:t>"RDT SWISSLION" d.o.o. Trebinje</w:t>
            </w:r>
          </w:p>
        </w:tc>
        <w:tc>
          <w:tcPr>
            <w:tcW w:w="2041" w:type="dxa"/>
          </w:tcPr>
          <w:p w:rsidR="005A1B74" w:rsidRPr="008144B0" w:rsidRDefault="005A1B74" w:rsidP="002D1E7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proizvodnja električne energije</w:t>
            </w:r>
          </w:p>
        </w:tc>
        <w:tc>
          <w:tcPr>
            <w:cnfStyle w:val="000010000000" w:firstRow="0" w:lastRow="0" w:firstColumn="0" w:lastColumn="0" w:oddVBand="1" w:evenVBand="0" w:oddHBand="0" w:evenHBand="0" w:firstRowFirstColumn="0" w:firstRowLastColumn="0" w:lastRowFirstColumn="0" w:lastRowLastColumn="0"/>
            <w:tcW w:w="2127" w:type="dxa"/>
          </w:tcPr>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lang w:val="sr-Cyrl-BA"/>
              </w:rPr>
              <w:t>Dozvola izdata 06.12.2024. na period od pet godina</w:t>
            </w:r>
          </w:p>
        </w:tc>
        <w:tc>
          <w:tcPr>
            <w:cnfStyle w:val="000100000000" w:firstRow="0" w:lastRow="0" w:firstColumn="0" w:lastColumn="1" w:oddVBand="0" w:evenVBand="0" w:oddHBand="0" w:evenHBand="0" w:firstRowFirstColumn="0" w:firstRowLastColumn="0" w:lastRowFirstColumn="0" w:lastRowLastColumn="0"/>
            <w:tcW w:w="2552" w:type="dxa"/>
          </w:tcPr>
          <w:p w:rsidR="005A1B74" w:rsidRPr="00621793" w:rsidRDefault="005A1B74" w:rsidP="002D1E7C">
            <w:pPr>
              <w:jc w:val="center"/>
              <w:rPr>
                <w:rFonts w:asciiTheme="minorHAnsi" w:hAnsiTheme="minorHAnsi"/>
                <w:b w:val="0"/>
                <w:sz w:val="18"/>
                <w:szCs w:val="18"/>
                <w:lang w:val="sr-Cyrl-BA"/>
              </w:rPr>
            </w:pPr>
            <w:r w:rsidRPr="00621793">
              <w:rPr>
                <w:rFonts w:asciiTheme="minorHAnsi" w:hAnsiTheme="minorHAnsi"/>
                <w:b w:val="0"/>
                <w:sz w:val="18"/>
                <w:szCs w:val="18"/>
                <w:lang w:val="sr-Cyrl-BA"/>
              </w:rPr>
              <w:t>Dozvola izdata</w:t>
            </w:r>
            <w:r w:rsidRPr="00621793">
              <w:rPr>
                <w:rFonts w:asciiTheme="minorHAnsi" w:hAnsiTheme="minorHAnsi"/>
                <w:b w:val="0"/>
                <w:sz w:val="18"/>
                <w:szCs w:val="18"/>
                <w:lang w:val="sr-Latn-BA"/>
              </w:rPr>
              <w:t xml:space="preserve"> </w:t>
            </w:r>
            <w:r w:rsidRPr="00621793">
              <w:rPr>
                <w:rFonts w:asciiTheme="minorHAnsi" w:hAnsiTheme="minorHAnsi"/>
                <w:b w:val="0"/>
                <w:sz w:val="18"/>
                <w:szCs w:val="18"/>
                <w:lang w:val="sr-Cyrl-BA"/>
              </w:rPr>
              <w:t>prvi put ovom licu</w:t>
            </w:r>
          </w:p>
          <w:p w:rsidR="005A1B74" w:rsidRPr="00621793" w:rsidRDefault="005A1B74" w:rsidP="002D1E7C">
            <w:pPr>
              <w:jc w:val="center"/>
              <w:rPr>
                <w:rFonts w:asciiTheme="minorHAnsi" w:hAnsiTheme="minorHAnsi"/>
                <w:b w:val="0"/>
                <w:sz w:val="20"/>
                <w:szCs w:val="20"/>
                <w:lang w:val="sr-Cyrl-BA"/>
              </w:rPr>
            </w:pPr>
            <w:r w:rsidRPr="00621793" w:rsidDel="005F4D4E">
              <w:rPr>
                <w:rFonts w:asciiTheme="minorHAnsi" w:hAnsiTheme="minorHAnsi"/>
                <w:b w:val="0"/>
                <w:sz w:val="18"/>
                <w:szCs w:val="18"/>
                <w:lang w:val="sr-Cyrl-BA"/>
              </w:rPr>
              <w:t xml:space="preserve"> </w:t>
            </w:r>
            <w:r w:rsidRPr="00621793">
              <w:rPr>
                <w:rFonts w:asciiTheme="minorHAnsi" w:hAnsiTheme="minorHAnsi"/>
                <w:b w:val="0"/>
                <w:sz w:val="18"/>
                <w:szCs w:val="18"/>
                <w:lang w:val="sr-Cyrl-BA"/>
              </w:rPr>
              <w:t xml:space="preserve">(dozvola obuhvatila proizvodni objekat </w:t>
            </w:r>
            <w:r w:rsidRPr="00621793">
              <w:rPr>
                <w:rFonts w:asciiTheme="minorHAnsi" w:hAnsiTheme="minorHAnsi"/>
                <w:b w:val="0"/>
                <w:iCs/>
                <w:sz w:val="18"/>
                <w:szCs w:val="18"/>
                <w:lang w:val="sr-Cyrl-BA"/>
              </w:rPr>
              <w:t>FSE "SWISS SUN-1")</w:t>
            </w:r>
          </w:p>
        </w:tc>
      </w:tr>
      <w:tr w:rsidR="005A1B74" w:rsidRPr="008144B0" w:rsidTr="00621793">
        <w:trPr>
          <w:cnfStyle w:val="000000100000" w:firstRow="0" w:lastRow="0" w:firstColumn="0" w:lastColumn="0" w:oddVBand="0" w:evenVBand="0" w:oddHBand="1" w:evenHBand="0" w:firstRowFirstColumn="0" w:firstRowLastColumn="0" w:lastRowFirstColumn="0" w:lastRowLastColumn="0"/>
          <w:trHeight w:val="807"/>
        </w:trPr>
        <w:tc>
          <w:tcPr>
            <w:cnfStyle w:val="001000000000" w:firstRow="0" w:lastRow="0" w:firstColumn="1" w:lastColumn="0" w:oddVBand="0" w:evenVBand="0" w:oddHBand="0" w:evenHBand="0" w:firstRowFirstColumn="0" w:firstRowLastColumn="0" w:lastRowFirstColumn="0" w:lastRowLastColumn="0"/>
            <w:tcW w:w="659" w:type="dxa"/>
          </w:tcPr>
          <w:p w:rsidR="005A1B74" w:rsidRPr="008144B0" w:rsidRDefault="005A1B74" w:rsidP="002D1E7C">
            <w:pPr>
              <w:jc w:val="center"/>
              <w:rPr>
                <w:rFonts w:asciiTheme="minorHAnsi" w:hAnsiTheme="minorHAnsi" w:cs="Calibri"/>
                <w:sz w:val="20"/>
                <w:szCs w:val="20"/>
                <w:lang w:val="bs-Latn-BA"/>
              </w:rPr>
            </w:pPr>
            <w:r w:rsidRPr="008144B0">
              <w:rPr>
                <w:rFonts w:asciiTheme="minorHAnsi" w:hAnsiTheme="minorHAnsi" w:cs="Calibri"/>
                <w:sz w:val="20"/>
                <w:szCs w:val="20"/>
                <w:lang w:val="bs-Latn-BA"/>
              </w:rPr>
              <w:t>17.</w:t>
            </w:r>
            <w:r w:rsidRPr="008144B0">
              <w:rPr>
                <w:rFonts w:asciiTheme="minorHAnsi" w:hAnsiTheme="minorHAnsi" w:cs="Calibri"/>
                <w:sz w:val="20"/>
                <w:szCs w:val="20"/>
                <w:lang w:val="sr-Cyrl-BA"/>
              </w:rPr>
              <w:t xml:space="preserve"> *</w:t>
            </w:r>
          </w:p>
        </w:tc>
        <w:tc>
          <w:tcPr>
            <w:cnfStyle w:val="000010000000" w:firstRow="0" w:lastRow="0" w:firstColumn="0" w:lastColumn="0" w:oddVBand="1" w:evenVBand="0" w:oddHBand="0" w:evenHBand="0" w:firstRowFirstColumn="0" w:firstRowLastColumn="0" w:lastRowFirstColumn="0" w:lastRowLastColumn="0"/>
            <w:tcW w:w="2403" w:type="dxa"/>
          </w:tcPr>
          <w:p w:rsidR="005A1B74" w:rsidRPr="008144B0" w:rsidRDefault="005A1B74" w:rsidP="002D1E7C">
            <w:pPr>
              <w:jc w:val="center"/>
              <w:rPr>
                <w:rFonts w:asciiTheme="minorHAnsi" w:hAnsiTheme="minorHAnsi"/>
                <w:sz w:val="20"/>
                <w:szCs w:val="20"/>
              </w:rPr>
            </w:pPr>
            <w:r w:rsidRPr="008144B0">
              <w:rPr>
                <w:rFonts w:asciiTheme="minorHAnsi" w:hAnsiTheme="minorHAnsi"/>
                <w:sz w:val="20"/>
                <w:szCs w:val="20"/>
                <w:lang w:val="sr-Cyrl-BA"/>
              </w:rPr>
              <w:t>"TEP" d.o.o. Istočno Novo Sarajevo</w:t>
            </w:r>
          </w:p>
        </w:tc>
        <w:tc>
          <w:tcPr>
            <w:tcW w:w="2041" w:type="dxa"/>
          </w:tcPr>
          <w:p w:rsidR="005A1B74" w:rsidRPr="008144B0" w:rsidRDefault="005A1B74" w:rsidP="002D1E7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proizvodnja električne energije</w:t>
            </w:r>
          </w:p>
        </w:tc>
        <w:tc>
          <w:tcPr>
            <w:cnfStyle w:val="000010000000" w:firstRow="0" w:lastRow="0" w:firstColumn="0" w:lastColumn="0" w:oddVBand="1" w:evenVBand="0" w:oddHBand="0" w:evenHBand="0" w:firstRowFirstColumn="0" w:firstRowLastColumn="0" w:lastRowFirstColumn="0" w:lastRowLastColumn="0"/>
            <w:tcW w:w="2127" w:type="dxa"/>
          </w:tcPr>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lang w:val="sr-Cyrl-BA"/>
              </w:rPr>
              <w:t xml:space="preserve">Zahtjev za izdavanje dozvole podnesen </w:t>
            </w:r>
            <w:r w:rsidRPr="008144B0">
              <w:rPr>
                <w:rFonts w:asciiTheme="minorHAnsi" w:hAnsiTheme="minorHAnsi"/>
                <w:sz w:val="20"/>
                <w:szCs w:val="20"/>
              </w:rPr>
              <w:t>16.12.2024</w:t>
            </w:r>
            <w:r w:rsidRPr="008144B0">
              <w:rPr>
                <w:rFonts w:asciiTheme="minorHAnsi" w:hAnsiTheme="minorHAnsi"/>
                <w:sz w:val="20"/>
                <w:szCs w:val="20"/>
                <w:lang w:val="sr-Cyrl-BA"/>
              </w:rPr>
              <w:t xml:space="preserve">. godine     </w:t>
            </w:r>
          </w:p>
        </w:tc>
        <w:tc>
          <w:tcPr>
            <w:cnfStyle w:val="000100000000" w:firstRow="0" w:lastRow="0" w:firstColumn="0" w:lastColumn="1" w:oddVBand="0" w:evenVBand="0" w:oddHBand="0" w:evenHBand="0" w:firstRowFirstColumn="0" w:firstRowLastColumn="0" w:lastRowFirstColumn="0" w:lastRowLastColumn="0"/>
            <w:tcW w:w="2552" w:type="dxa"/>
          </w:tcPr>
          <w:p w:rsidR="005A1B74" w:rsidRPr="00621793" w:rsidRDefault="005A1B74" w:rsidP="002D1E7C">
            <w:pPr>
              <w:ind w:left="-84" w:right="-95"/>
              <w:jc w:val="center"/>
              <w:rPr>
                <w:rFonts w:asciiTheme="minorHAnsi" w:hAnsiTheme="minorHAnsi"/>
                <w:b w:val="0"/>
                <w:color w:val="auto"/>
                <w:sz w:val="18"/>
                <w:szCs w:val="18"/>
                <w:lang w:val="sr-Cyrl-BA"/>
              </w:rPr>
            </w:pPr>
            <w:r w:rsidRPr="00621793">
              <w:rPr>
                <w:rFonts w:asciiTheme="minorHAnsi" w:hAnsiTheme="minorHAnsi"/>
                <w:b w:val="0"/>
                <w:sz w:val="18"/>
                <w:szCs w:val="18"/>
                <w:lang w:val="sr-Cyrl-BA"/>
              </w:rPr>
              <w:t>Postupak završen početkom 2025. godine</w:t>
            </w:r>
          </w:p>
          <w:p w:rsidR="005A1B74" w:rsidRPr="00621793" w:rsidRDefault="005A1B74" w:rsidP="002D1E7C">
            <w:pPr>
              <w:jc w:val="center"/>
              <w:rPr>
                <w:rFonts w:asciiTheme="minorHAnsi" w:hAnsiTheme="minorHAnsi"/>
                <w:b w:val="0"/>
                <w:sz w:val="18"/>
                <w:szCs w:val="18"/>
                <w:lang w:val="sr-Cyrl-BA"/>
              </w:rPr>
            </w:pPr>
            <w:r w:rsidRPr="00621793">
              <w:rPr>
                <w:rFonts w:asciiTheme="minorHAnsi" w:hAnsiTheme="minorHAnsi"/>
                <w:b w:val="0"/>
                <w:sz w:val="18"/>
                <w:szCs w:val="18"/>
                <w:lang w:val="sr-Cyrl-BA"/>
              </w:rPr>
              <w:t>(izmjena dozvole obuhvatila novoizgrađene proizvodne objekte</w:t>
            </w:r>
          </w:p>
          <w:p w:rsidR="005A1B74" w:rsidRPr="00621793" w:rsidRDefault="005A1B74" w:rsidP="002D1E7C">
            <w:pPr>
              <w:jc w:val="center"/>
              <w:rPr>
                <w:rFonts w:asciiTheme="minorHAnsi" w:hAnsiTheme="minorHAnsi"/>
                <w:b w:val="0"/>
                <w:sz w:val="20"/>
                <w:szCs w:val="20"/>
                <w:lang w:val="sr-Cyrl-BA"/>
              </w:rPr>
            </w:pPr>
            <w:r w:rsidRPr="00621793">
              <w:rPr>
                <w:rFonts w:asciiTheme="minorHAnsi" w:hAnsiTheme="minorHAnsi"/>
                <w:b w:val="0"/>
                <w:sz w:val="18"/>
                <w:szCs w:val="18"/>
                <w:lang w:val="sr-Cyrl-BA"/>
              </w:rPr>
              <w:t xml:space="preserve"> </w:t>
            </w:r>
            <w:r w:rsidRPr="00621793">
              <w:rPr>
                <w:rFonts w:asciiTheme="minorHAnsi" w:hAnsiTheme="minorHAnsi"/>
                <w:b w:val="0"/>
                <w:iCs/>
                <w:sz w:val="18"/>
                <w:szCs w:val="18"/>
                <w:lang w:val="sr-Cyrl-BA"/>
              </w:rPr>
              <w:t>MSE „Žiljevo 1-3“</w:t>
            </w:r>
            <w:r w:rsidRPr="00621793">
              <w:rPr>
                <w:rFonts w:asciiTheme="minorHAnsi" w:hAnsiTheme="minorHAnsi"/>
                <w:b w:val="0"/>
                <w:sz w:val="18"/>
                <w:szCs w:val="18"/>
                <w:lang w:val="sr-Cyrl-BA"/>
              </w:rPr>
              <w:t>)</w:t>
            </w:r>
          </w:p>
        </w:tc>
      </w:tr>
      <w:tr w:rsidR="005A1B74" w:rsidRPr="008144B0" w:rsidTr="00621793">
        <w:trPr>
          <w:trHeight w:val="807"/>
        </w:trPr>
        <w:tc>
          <w:tcPr>
            <w:cnfStyle w:val="001000000000" w:firstRow="0" w:lastRow="0" w:firstColumn="1" w:lastColumn="0" w:oddVBand="0" w:evenVBand="0" w:oddHBand="0" w:evenHBand="0" w:firstRowFirstColumn="0" w:firstRowLastColumn="0" w:lastRowFirstColumn="0" w:lastRowLastColumn="0"/>
            <w:tcW w:w="659" w:type="dxa"/>
          </w:tcPr>
          <w:p w:rsidR="005A1B74" w:rsidRPr="008144B0" w:rsidRDefault="005A1B74" w:rsidP="002D1E7C">
            <w:pPr>
              <w:jc w:val="center"/>
              <w:rPr>
                <w:rFonts w:asciiTheme="minorHAnsi" w:hAnsiTheme="minorHAnsi" w:cs="Calibri"/>
                <w:sz w:val="20"/>
                <w:szCs w:val="20"/>
                <w:lang w:val="bs-Latn-BA"/>
              </w:rPr>
            </w:pPr>
            <w:r w:rsidRPr="008144B0">
              <w:rPr>
                <w:rFonts w:asciiTheme="minorHAnsi" w:hAnsiTheme="minorHAnsi" w:cs="Calibri"/>
                <w:sz w:val="20"/>
                <w:szCs w:val="20"/>
                <w:lang w:val="bs-Latn-BA"/>
              </w:rPr>
              <w:t>18.</w:t>
            </w:r>
            <w:r w:rsidRPr="008144B0">
              <w:rPr>
                <w:rFonts w:asciiTheme="minorHAnsi" w:hAnsiTheme="minorHAnsi" w:cs="Calibri"/>
                <w:sz w:val="20"/>
                <w:szCs w:val="20"/>
                <w:lang w:val="sr-Cyrl-BA"/>
              </w:rPr>
              <w:t xml:space="preserve"> *</w:t>
            </w:r>
          </w:p>
        </w:tc>
        <w:tc>
          <w:tcPr>
            <w:cnfStyle w:val="000010000000" w:firstRow="0" w:lastRow="0" w:firstColumn="0" w:lastColumn="0" w:oddVBand="1" w:evenVBand="0" w:oddHBand="0" w:evenHBand="0" w:firstRowFirstColumn="0" w:firstRowLastColumn="0" w:lastRowFirstColumn="0" w:lastRowLastColumn="0"/>
            <w:tcW w:w="2403" w:type="dxa"/>
          </w:tcPr>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lang w:val="sr-Cyrl-BA"/>
              </w:rPr>
              <w:t>"ENSA BH" d.o.o Srbac</w:t>
            </w:r>
          </w:p>
        </w:tc>
        <w:tc>
          <w:tcPr>
            <w:tcW w:w="2041" w:type="dxa"/>
          </w:tcPr>
          <w:p w:rsidR="005A1B74" w:rsidRPr="008144B0" w:rsidRDefault="005A1B74" w:rsidP="002D1E7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proizvodnja električne energije</w:t>
            </w:r>
          </w:p>
        </w:tc>
        <w:tc>
          <w:tcPr>
            <w:cnfStyle w:val="000010000000" w:firstRow="0" w:lastRow="0" w:firstColumn="0" w:lastColumn="0" w:oddVBand="1" w:evenVBand="0" w:oddHBand="0" w:evenHBand="0" w:firstRowFirstColumn="0" w:firstRowLastColumn="0" w:lastRowFirstColumn="0" w:lastRowLastColumn="0"/>
            <w:tcW w:w="2127" w:type="dxa"/>
          </w:tcPr>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lang w:val="sr-Cyrl-BA"/>
              </w:rPr>
              <w:t xml:space="preserve">Zahtjev za izdavanje dozvole podnesen </w:t>
            </w:r>
            <w:r w:rsidRPr="008144B0">
              <w:rPr>
                <w:rFonts w:asciiTheme="minorHAnsi" w:hAnsiTheme="minorHAnsi"/>
                <w:sz w:val="20"/>
                <w:szCs w:val="20"/>
              </w:rPr>
              <w:t>18.12.2024</w:t>
            </w:r>
            <w:r w:rsidRPr="008144B0">
              <w:rPr>
                <w:rFonts w:asciiTheme="minorHAnsi" w:hAnsiTheme="minorHAnsi"/>
                <w:sz w:val="20"/>
                <w:szCs w:val="20"/>
                <w:lang w:val="sr-Cyrl-BA"/>
              </w:rPr>
              <w:t xml:space="preserve">. godine     </w:t>
            </w:r>
          </w:p>
        </w:tc>
        <w:tc>
          <w:tcPr>
            <w:cnfStyle w:val="000100000000" w:firstRow="0" w:lastRow="0" w:firstColumn="0" w:lastColumn="1" w:oddVBand="0" w:evenVBand="0" w:oddHBand="0" w:evenHBand="0" w:firstRowFirstColumn="0" w:firstRowLastColumn="0" w:lastRowFirstColumn="0" w:lastRowLastColumn="0"/>
            <w:tcW w:w="2552" w:type="dxa"/>
          </w:tcPr>
          <w:p w:rsidR="005A1B74" w:rsidRPr="00621793" w:rsidRDefault="005A1B74" w:rsidP="002D1E7C">
            <w:pPr>
              <w:ind w:left="-84" w:right="-95"/>
              <w:jc w:val="center"/>
              <w:rPr>
                <w:rFonts w:asciiTheme="minorHAnsi" w:hAnsiTheme="minorHAnsi"/>
                <w:b w:val="0"/>
                <w:color w:val="auto"/>
                <w:sz w:val="18"/>
                <w:szCs w:val="18"/>
                <w:lang w:val="sr-Cyrl-BA"/>
              </w:rPr>
            </w:pPr>
            <w:r w:rsidRPr="00621793">
              <w:rPr>
                <w:rFonts w:asciiTheme="minorHAnsi" w:hAnsiTheme="minorHAnsi"/>
                <w:b w:val="0"/>
                <w:sz w:val="18"/>
                <w:szCs w:val="18"/>
                <w:lang w:val="sr-Cyrl-BA"/>
              </w:rPr>
              <w:t>Postupak završen početkom 2025. godine</w:t>
            </w:r>
          </w:p>
          <w:p w:rsidR="005A1B74" w:rsidRPr="00621793" w:rsidRDefault="005A1B74" w:rsidP="002D1E7C">
            <w:pPr>
              <w:ind w:left="-84" w:right="-95"/>
              <w:jc w:val="center"/>
              <w:rPr>
                <w:rFonts w:asciiTheme="minorHAnsi" w:hAnsiTheme="minorHAnsi"/>
                <w:b w:val="0"/>
                <w:sz w:val="20"/>
                <w:szCs w:val="20"/>
                <w:lang w:val="sr-Cyrl-BA"/>
              </w:rPr>
            </w:pPr>
            <w:r w:rsidRPr="00621793">
              <w:rPr>
                <w:rFonts w:asciiTheme="minorHAnsi" w:hAnsiTheme="minorHAnsi"/>
                <w:b w:val="0"/>
                <w:sz w:val="18"/>
                <w:szCs w:val="18"/>
                <w:lang w:val="sr-Cyrl-BA"/>
              </w:rPr>
              <w:t xml:space="preserve">(dozvola obuhvatila proizvodne objekte   </w:t>
            </w:r>
            <w:r w:rsidRPr="00621793">
              <w:rPr>
                <w:rFonts w:asciiTheme="minorHAnsi" w:hAnsiTheme="minorHAnsi"/>
                <w:b w:val="0"/>
                <w:iCs/>
                <w:sz w:val="18"/>
                <w:szCs w:val="18"/>
                <w:lang w:val="sr-Cyrl-BA"/>
              </w:rPr>
              <w:t>MSE „</w:t>
            </w:r>
            <w:r w:rsidRPr="00621793">
              <w:rPr>
                <w:rFonts w:asciiTheme="minorHAnsi" w:hAnsiTheme="minorHAnsi"/>
                <w:b w:val="0"/>
                <w:iCs/>
                <w:sz w:val="18"/>
                <w:szCs w:val="18"/>
              </w:rPr>
              <w:t>Povelič</w:t>
            </w:r>
            <w:r w:rsidRPr="00621793">
              <w:rPr>
                <w:rFonts w:asciiTheme="minorHAnsi" w:hAnsiTheme="minorHAnsi"/>
                <w:b w:val="0"/>
                <w:iCs/>
                <w:sz w:val="18"/>
                <w:szCs w:val="18"/>
                <w:lang w:val="sr-Cyrl-BA"/>
              </w:rPr>
              <w:t xml:space="preserve"> 1-15“</w:t>
            </w:r>
            <w:r w:rsidRPr="00621793">
              <w:rPr>
                <w:rFonts w:asciiTheme="minorHAnsi" w:hAnsiTheme="minorHAnsi"/>
                <w:b w:val="0"/>
                <w:sz w:val="18"/>
                <w:szCs w:val="18"/>
                <w:lang w:val="sr-Cyrl-BA"/>
              </w:rPr>
              <w:t>)</w:t>
            </w:r>
          </w:p>
        </w:tc>
      </w:tr>
      <w:tr w:rsidR="005A1B74" w:rsidRPr="008144B0" w:rsidTr="00621793">
        <w:trPr>
          <w:cnfStyle w:val="000000100000" w:firstRow="0" w:lastRow="0" w:firstColumn="0" w:lastColumn="0" w:oddVBand="0" w:evenVBand="0" w:oddHBand="1" w:evenHBand="0" w:firstRowFirstColumn="0" w:firstRowLastColumn="0" w:lastRowFirstColumn="0" w:lastRowLastColumn="0"/>
          <w:trHeight w:val="807"/>
        </w:trPr>
        <w:tc>
          <w:tcPr>
            <w:cnfStyle w:val="001000000000" w:firstRow="0" w:lastRow="0" w:firstColumn="1" w:lastColumn="0" w:oddVBand="0" w:evenVBand="0" w:oddHBand="0" w:evenHBand="0" w:firstRowFirstColumn="0" w:firstRowLastColumn="0" w:lastRowFirstColumn="0" w:lastRowLastColumn="0"/>
            <w:tcW w:w="659" w:type="dxa"/>
          </w:tcPr>
          <w:p w:rsidR="005A1B74" w:rsidRPr="008144B0" w:rsidRDefault="005A1B74" w:rsidP="002D1E7C">
            <w:pPr>
              <w:jc w:val="center"/>
              <w:rPr>
                <w:rFonts w:asciiTheme="minorHAnsi" w:hAnsiTheme="minorHAnsi" w:cs="Calibri"/>
                <w:sz w:val="20"/>
                <w:szCs w:val="20"/>
                <w:lang w:val="bs-Latn-BA"/>
              </w:rPr>
            </w:pPr>
            <w:r w:rsidRPr="008144B0">
              <w:rPr>
                <w:rFonts w:asciiTheme="minorHAnsi" w:hAnsiTheme="minorHAnsi" w:cs="Calibri"/>
                <w:sz w:val="20"/>
                <w:szCs w:val="20"/>
                <w:lang w:val="bs-Latn-BA"/>
              </w:rPr>
              <w:lastRenderedPageBreak/>
              <w:t>19.</w:t>
            </w:r>
          </w:p>
        </w:tc>
        <w:tc>
          <w:tcPr>
            <w:cnfStyle w:val="000010000000" w:firstRow="0" w:lastRow="0" w:firstColumn="0" w:lastColumn="0" w:oddVBand="1" w:evenVBand="0" w:oddHBand="0" w:evenHBand="0" w:firstRowFirstColumn="0" w:firstRowLastColumn="0" w:lastRowFirstColumn="0" w:lastRowLastColumn="0"/>
            <w:tcW w:w="2403" w:type="dxa"/>
          </w:tcPr>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lang w:val="sr-Cyrl-BA"/>
              </w:rPr>
              <w:t>"EFT HE Ulog" d.o.o. Kalinovik</w:t>
            </w:r>
          </w:p>
        </w:tc>
        <w:tc>
          <w:tcPr>
            <w:tcW w:w="2041" w:type="dxa"/>
          </w:tcPr>
          <w:p w:rsidR="005A1B74" w:rsidRPr="008144B0" w:rsidRDefault="005A1B74" w:rsidP="002D1E7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proizvodnja električne energije</w:t>
            </w:r>
          </w:p>
        </w:tc>
        <w:tc>
          <w:tcPr>
            <w:cnfStyle w:val="000010000000" w:firstRow="0" w:lastRow="0" w:firstColumn="0" w:lastColumn="0" w:oddVBand="1" w:evenVBand="0" w:oddHBand="0" w:evenHBand="0" w:firstRowFirstColumn="0" w:firstRowLastColumn="0" w:lastRowFirstColumn="0" w:lastRowLastColumn="0"/>
            <w:tcW w:w="2127" w:type="dxa"/>
          </w:tcPr>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lang w:val="sr-Cyrl-BA"/>
              </w:rPr>
              <w:t xml:space="preserve">Zahtjev za izdavanje dozvole podnesen </w:t>
            </w:r>
            <w:r w:rsidRPr="008144B0">
              <w:rPr>
                <w:rFonts w:asciiTheme="minorHAnsi" w:hAnsiTheme="minorHAnsi"/>
                <w:sz w:val="20"/>
                <w:szCs w:val="20"/>
              </w:rPr>
              <w:t>20.12.202</w:t>
            </w:r>
            <w:r w:rsidRPr="008144B0">
              <w:rPr>
                <w:rFonts w:asciiTheme="minorHAnsi" w:hAnsiTheme="minorHAnsi"/>
                <w:sz w:val="20"/>
                <w:szCs w:val="20"/>
                <w:lang w:val="sr-Cyrl-BA"/>
              </w:rPr>
              <w:t xml:space="preserve">4. godine     </w:t>
            </w:r>
          </w:p>
        </w:tc>
        <w:tc>
          <w:tcPr>
            <w:cnfStyle w:val="000100000000" w:firstRow="0" w:lastRow="0" w:firstColumn="0" w:lastColumn="1" w:oddVBand="0" w:evenVBand="0" w:oddHBand="0" w:evenHBand="0" w:firstRowFirstColumn="0" w:firstRowLastColumn="0" w:lastRowFirstColumn="0" w:lastRowLastColumn="0"/>
            <w:tcW w:w="2552" w:type="dxa"/>
          </w:tcPr>
          <w:p w:rsidR="005A1B74" w:rsidRPr="00621793" w:rsidRDefault="005A1B74" w:rsidP="002D1E7C">
            <w:pPr>
              <w:ind w:left="-84" w:right="-95"/>
              <w:jc w:val="center"/>
              <w:rPr>
                <w:rFonts w:asciiTheme="minorHAnsi" w:hAnsiTheme="minorHAnsi"/>
                <w:b w:val="0"/>
                <w:color w:val="auto"/>
                <w:sz w:val="18"/>
                <w:szCs w:val="18"/>
                <w:lang w:val="sr-Cyrl-BA"/>
              </w:rPr>
            </w:pPr>
            <w:r w:rsidRPr="00621793">
              <w:rPr>
                <w:rFonts w:asciiTheme="minorHAnsi" w:hAnsiTheme="minorHAnsi"/>
                <w:b w:val="0"/>
                <w:sz w:val="18"/>
                <w:szCs w:val="18"/>
                <w:lang w:val="sr-Cyrl-BA"/>
              </w:rPr>
              <w:t>Postupak završen početkom 2025. godine</w:t>
            </w:r>
          </w:p>
          <w:p w:rsidR="005A1B74" w:rsidRPr="00621793" w:rsidRDefault="005A1B74" w:rsidP="002D1E7C">
            <w:pPr>
              <w:ind w:left="-84" w:right="-95"/>
              <w:jc w:val="center"/>
              <w:rPr>
                <w:rFonts w:asciiTheme="minorHAnsi" w:hAnsiTheme="minorHAnsi"/>
                <w:b w:val="0"/>
                <w:sz w:val="18"/>
                <w:szCs w:val="18"/>
                <w:lang w:val="sr-Cyrl-BA"/>
              </w:rPr>
            </w:pPr>
            <w:r w:rsidRPr="00621793">
              <w:rPr>
                <w:rFonts w:asciiTheme="minorHAnsi" w:hAnsiTheme="minorHAnsi"/>
                <w:b w:val="0"/>
                <w:sz w:val="18"/>
                <w:szCs w:val="18"/>
                <w:lang w:val="sr-Cyrl-BA"/>
              </w:rPr>
              <w:t xml:space="preserve">(dozvola obuhvatila proizvodni objekat </w:t>
            </w:r>
          </w:p>
          <w:p w:rsidR="005A1B74" w:rsidRPr="00621793" w:rsidRDefault="005A1B74" w:rsidP="002D1E7C">
            <w:pPr>
              <w:ind w:left="-84" w:right="-95"/>
              <w:jc w:val="center"/>
              <w:rPr>
                <w:rFonts w:asciiTheme="minorHAnsi" w:hAnsiTheme="minorHAnsi"/>
                <w:b w:val="0"/>
                <w:sz w:val="20"/>
                <w:szCs w:val="20"/>
                <w:lang w:val="sr-Cyrl-BA"/>
              </w:rPr>
            </w:pPr>
            <w:r w:rsidRPr="00621793">
              <w:rPr>
                <w:rFonts w:asciiTheme="minorHAnsi" w:hAnsiTheme="minorHAnsi"/>
                <w:b w:val="0"/>
                <w:sz w:val="18"/>
                <w:szCs w:val="18"/>
                <w:lang w:val="sr-Cyrl-BA"/>
              </w:rPr>
              <w:t>H</w:t>
            </w:r>
            <w:r w:rsidRPr="00621793">
              <w:rPr>
                <w:rFonts w:asciiTheme="minorHAnsi" w:hAnsiTheme="minorHAnsi"/>
                <w:b w:val="0"/>
                <w:iCs/>
                <w:sz w:val="18"/>
                <w:szCs w:val="18"/>
                <w:lang w:val="sr-Cyrl-BA"/>
              </w:rPr>
              <w:t>E „Ulog“</w:t>
            </w:r>
            <w:r w:rsidRPr="00621793">
              <w:rPr>
                <w:rFonts w:asciiTheme="minorHAnsi" w:hAnsiTheme="minorHAnsi"/>
                <w:b w:val="0"/>
                <w:sz w:val="18"/>
                <w:szCs w:val="18"/>
                <w:lang w:val="sr-Cyrl-BA"/>
              </w:rPr>
              <w:t>)</w:t>
            </w:r>
          </w:p>
        </w:tc>
      </w:tr>
      <w:tr w:rsidR="005A1B74" w:rsidRPr="008144B0" w:rsidTr="00621793">
        <w:trPr>
          <w:trHeight w:val="807"/>
        </w:trPr>
        <w:tc>
          <w:tcPr>
            <w:cnfStyle w:val="001000000000" w:firstRow="0" w:lastRow="0" w:firstColumn="1" w:lastColumn="0" w:oddVBand="0" w:evenVBand="0" w:oddHBand="0" w:evenHBand="0" w:firstRowFirstColumn="0" w:firstRowLastColumn="0" w:lastRowFirstColumn="0" w:lastRowLastColumn="0"/>
            <w:tcW w:w="659" w:type="dxa"/>
          </w:tcPr>
          <w:p w:rsidR="005A1B74" w:rsidRPr="008144B0" w:rsidRDefault="005A1B74" w:rsidP="002D1E7C">
            <w:pPr>
              <w:jc w:val="center"/>
              <w:rPr>
                <w:rFonts w:asciiTheme="minorHAnsi" w:hAnsiTheme="minorHAnsi" w:cs="Calibri"/>
                <w:sz w:val="20"/>
                <w:szCs w:val="20"/>
                <w:lang w:val="bs-Latn-BA"/>
              </w:rPr>
            </w:pPr>
            <w:r w:rsidRPr="008144B0">
              <w:rPr>
                <w:rFonts w:asciiTheme="minorHAnsi" w:hAnsiTheme="minorHAnsi" w:cs="Calibri"/>
                <w:sz w:val="20"/>
                <w:szCs w:val="20"/>
                <w:lang w:val="bs-Latn-BA"/>
              </w:rPr>
              <w:t>20.</w:t>
            </w:r>
            <w:r w:rsidRPr="008144B0">
              <w:rPr>
                <w:rFonts w:asciiTheme="minorHAnsi" w:hAnsiTheme="minorHAnsi" w:cs="Calibri"/>
                <w:sz w:val="20"/>
                <w:szCs w:val="20"/>
                <w:lang w:val="sr-Cyrl-BA"/>
              </w:rPr>
              <w:t xml:space="preserve"> *</w:t>
            </w:r>
          </w:p>
        </w:tc>
        <w:tc>
          <w:tcPr>
            <w:cnfStyle w:val="000010000000" w:firstRow="0" w:lastRow="0" w:firstColumn="0" w:lastColumn="0" w:oddVBand="1" w:evenVBand="0" w:oddHBand="0" w:evenHBand="0" w:firstRowFirstColumn="0" w:firstRowLastColumn="0" w:lastRowFirstColumn="0" w:lastRowLastColumn="0"/>
            <w:tcW w:w="2403" w:type="dxa"/>
          </w:tcPr>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rPr>
              <w:t>GP "GRADIP" d.o.o. Prnjavor</w:t>
            </w:r>
          </w:p>
        </w:tc>
        <w:tc>
          <w:tcPr>
            <w:tcW w:w="2041" w:type="dxa"/>
          </w:tcPr>
          <w:p w:rsidR="005A1B74" w:rsidRPr="008144B0" w:rsidRDefault="005A1B74" w:rsidP="002D1E7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proizvodnja električne energije</w:t>
            </w:r>
          </w:p>
        </w:tc>
        <w:tc>
          <w:tcPr>
            <w:cnfStyle w:val="000010000000" w:firstRow="0" w:lastRow="0" w:firstColumn="0" w:lastColumn="0" w:oddVBand="1" w:evenVBand="0" w:oddHBand="0" w:evenHBand="0" w:firstRowFirstColumn="0" w:firstRowLastColumn="0" w:lastRowFirstColumn="0" w:lastRowLastColumn="0"/>
            <w:tcW w:w="2127" w:type="dxa"/>
          </w:tcPr>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lang w:val="sr-Cyrl-BA"/>
              </w:rPr>
              <w:t>Dozvola izdata 26.12.2024. na period od pet godina</w:t>
            </w:r>
          </w:p>
        </w:tc>
        <w:tc>
          <w:tcPr>
            <w:cnfStyle w:val="000100000000" w:firstRow="0" w:lastRow="0" w:firstColumn="0" w:lastColumn="1" w:oddVBand="0" w:evenVBand="0" w:oddHBand="0" w:evenHBand="0" w:firstRowFirstColumn="0" w:firstRowLastColumn="0" w:lastRowFirstColumn="0" w:lastRowLastColumn="0"/>
            <w:tcW w:w="2552" w:type="dxa"/>
          </w:tcPr>
          <w:p w:rsidR="005A1B74" w:rsidRPr="00621793" w:rsidRDefault="005A1B74" w:rsidP="002D1E7C">
            <w:pPr>
              <w:ind w:left="-84" w:right="-95"/>
              <w:jc w:val="center"/>
              <w:rPr>
                <w:rFonts w:asciiTheme="minorHAnsi" w:hAnsiTheme="minorHAnsi"/>
                <w:b w:val="0"/>
                <w:sz w:val="18"/>
                <w:szCs w:val="18"/>
                <w:lang w:val="sr-Cyrl-BA"/>
              </w:rPr>
            </w:pPr>
            <w:r w:rsidRPr="00621793">
              <w:rPr>
                <w:rFonts w:asciiTheme="minorHAnsi" w:hAnsiTheme="minorHAnsi"/>
                <w:b w:val="0"/>
                <w:sz w:val="18"/>
                <w:szCs w:val="18"/>
                <w:lang w:val="sr-Cyrl-BA"/>
              </w:rPr>
              <w:t>Dozvola izdata</w:t>
            </w:r>
            <w:r w:rsidRPr="00621793">
              <w:rPr>
                <w:rFonts w:asciiTheme="minorHAnsi" w:hAnsiTheme="minorHAnsi"/>
                <w:b w:val="0"/>
                <w:sz w:val="18"/>
                <w:szCs w:val="18"/>
                <w:lang w:val="sr-Latn-BA"/>
              </w:rPr>
              <w:t xml:space="preserve"> </w:t>
            </w:r>
            <w:r w:rsidRPr="00621793">
              <w:rPr>
                <w:rFonts w:asciiTheme="minorHAnsi" w:hAnsiTheme="minorHAnsi"/>
                <w:b w:val="0"/>
                <w:sz w:val="18"/>
                <w:szCs w:val="18"/>
                <w:lang w:val="sr-Cyrl-BA"/>
              </w:rPr>
              <w:t>prvi put</w:t>
            </w:r>
            <w:r w:rsidRPr="00621793" w:rsidDel="00120B8A">
              <w:rPr>
                <w:rFonts w:asciiTheme="minorHAnsi" w:hAnsiTheme="minorHAnsi"/>
                <w:b w:val="0"/>
                <w:sz w:val="18"/>
                <w:szCs w:val="18"/>
                <w:lang w:val="sr-Cyrl-BA"/>
              </w:rPr>
              <w:t xml:space="preserve"> </w:t>
            </w:r>
            <w:r w:rsidRPr="00621793">
              <w:rPr>
                <w:rFonts w:asciiTheme="minorHAnsi" w:hAnsiTheme="minorHAnsi"/>
                <w:b w:val="0"/>
                <w:sz w:val="18"/>
                <w:szCs w:val="18"/>
                <w:lang w:val="sr-Cyrl-BA"/>
              </w:rPr>
              <w:t xml:space="preserve">(dozvola obuhvatila proizvodne objekte </w:t>
            </w:r>
          </w:p>
          <w:p w:rsidR="005A1B74" w:rsidRPr="00621793" w:rsidRDefault="005A1B74" w:rsidP="002D1E7C">
            <w:pPr>
              <w:ind w:left="-84" w:right="-95"/>
              <w:jc w:val="center"/>
              <w:rPr>
                <w:rFonts w:asciiTheme="minorHAnsi" w:hAnsiTheme="minorHAnsi"/>
                <w:b w:val="0"/>
                <w:sz w:val="20"/>
                <w:szCs w:val="20"/>
                <w:lang w:val="sr-Cyrl-BA"/>
              </w:rPr>
            </w:pPr>
            <w:r w:rsidRPr="00621793">
              <w:rPr>
                <w:rFonts w:asciiTheme="minorHAnsi" w:hAnsiTheme="minorHAnsi"/>
                <w:b w:val="0"/>
                <w:iCs/>
                <w:sz w:val="18"/>
                <w:szCs w:val="18"/>
                <w:lang w:val="sr-Cyrl-BA"/>
              </w:rPr>
              <w:t>MSE "Gradip 1-7")</w:t>
            </w:r>
          </w:p>
        </w:tc>
      </w:tr>
      <w:tr w:rsidR="005A1B74" w:rsidRPr="008144B0" w:rsidTr="00621793">
        <w:trPr>
          <w:cnfStyle w:val="000000100000" w:firstRow="0" w:lastRow="0" w:firstColumn="0" w:lastColumn="0" w:oddVBand="0" w:evenVBand="0" w:oddHBand="1" w:evenHBand="0" w:firstRowFirstColumn="0" w:firstRowLastColumn="0" w:lastRowFirstColumn="0" w:lastRowLastColumn="0"/>
          <w:trHeight w:val="807"/>
        </w:trPr>
        <w:tc>
          <w:tcPr>
            <w:cnfStyle w:val="001000000000" w:firstRow="0" w:lastRow="0" w:firstColumn="1" w:lastColumn="0" w:oddVBand="0" w:evenVBand="0" w:oddHBand="0" w:evenHBand="0" w:firstRowFirstColumn="0" w:firstRowLastColumn="0" w:lastRowFirstColumn="0" w:lastRowLastColumn="0"/>
            <w:tcW w:w="659" w:type="dxa"/>
          </w:tcPr>
          <w:p w:rsidR="005A1B74" w:rsidRPr="008144B0" w:rsidRDefault="005A1B74" w:rsidP="002D1E7C">
            <w:pPr>
              <w:jc w:val="center"/>
              <w:rPr>
                <w:rFonts w:asciiTheme="minorHAnsi" w:hAnsiTheme="minorHAnsi" w:cs="Calibri"/>
                <w:sz w:val="20"/>
                <w:szCs w:val="20"/>
                <w:lang w:val="bs-Latn-BA"/>
              </w:rPr>
            </w:pPr>
            <w:r w:rsidRPr="008144B0">
              <w:rPr>
                <w:rFonts w:asciiTheme="minorHAnsi" w:hAnsiTheme="minorHAnsi" w:cs="Calibri"/>
                <w:sz w:val="20"/>
                <w:szCs w:val="20"/>
                <w:lang w:val="bs-Latn-BA"/>
              </w:rPr>
              <w:t>21.</w:t>
            </w:r>
            <w:r w:rsidRPr="008144B0">
              <w:rPr>
                <w:rFonts w:asciiTheme="minorHAnsi" w:hAnsiTheme="minorHAnsi" w:cs="Calibri"/>
                <w:sz w:val="20"/>
                <w:szCs w:val="20"/>
                <w:lang w:val="sr-Cyrl-BA"/>
              </w:rPr>
              <w:t xml:space="preserve"> *</w:t>
            </w:r>
          </w:p>
        </w:tc>
        <w:tc>
          <w:tcPr>
            <w:cnfStyle w:val="000010000000" w:firstRow="0" w:lastRow="0" w:firstColumn="0" w:lastColumn="0" w:oddVBand="1" w:evenVBand="0" w:oddHBand="0" w:evenHBand="0" w:firstRowFirstColumn="0" w:firstRowLastColumn="0" w:lastRowFirstColumn="0" w:lastRowLastColumn="0"/>
            <w:tcW w:w="2403" w:type="dxa"/>
          </w:tcPr>
          <w:p w:rsidR="005A1B74" w:rsidRPr="008144B0" w:rsidRDefault="005A1B74" w:rsidP="002D1E7C">
            <w:pPr>
              <w:jc w:val="center"/>
              <w:rPr>
                <w:rFonts w:asciiTheme="minorHAnsi" w:hAnsiTheme="minorHAnsi"/>
                <w:sz w:val="20"/>
                <w:szCs w:val="20"/>
              </w:rPr>
            </w:pPr>
            <w:r w:rsidRPr="008144B0">
              <w:rPr>
                <w:rFonts w:asciiTheme="minorHAnsi" w:hAnsiTheme="minorHAnsi"/>
                <w:sz w:val="20"/>
                <w:szCs w:val="20"/>
              </w:rPr>
              <w:t>"TEHNO GRAD" D.O.O. Skugrić Gornji</w:t>
            </w:r>
          </w:p>
        </w:tc>
        <w:tc>
          <w:tcPr>
            <w:tcW w:w="2041" w:type="dxa"/>
          </w:tcPr>
          <w:p w:rsidR="005A1B74" w:rsidRPr="008144B0" w:rsidRDefault="005A1B74" w:rsidP="002D1E7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proizvodnja električne energije</w:t>
            </w:r>
          </w:p>
        </w:tc>
        <w:tc>
          <w:tcPr>
            <w:cnfStyle w:val="000010000000" w:firstRow="0" w:lastRow="0" w:firstColumn="0" w:lastColumn="0" w:oddVBand="1" w:evenVBand="0" w:oddHBand="0" w:evenHBand="0" w:firstRowFirstColumn="0" w:firstRowLastColumn="0" w:lastRowFirstColumn="0" w:lastRowLastColumn="0"/>
            <w:tcW w:w="2127" w:type="dxa"/>
          </w:tcPr>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lang w:val="sr-Cyrl-BA"/>
              </w:rPr>
              <w:t>Dozvola izdata 26.12.2024. na period od pet godina</w:t>
            </w:r>
          </w:p>
        </w:tc>
        <w:tc>
          <w:tcPr>
            <w:cnfStyle w:val="000100000000" w:firstRow="0" w:lastRow="0" w:firstColumn="0" w:lastColumn="1" w:oddVBand="0" w:evenVBand="0" w:oddHBand="0" w:evenHBand="0" w:firstRowFirstColumn="0" w:firstRowLastColumn="0" w:lastRowFirstColumn="0" w:lastRowLastColumn="0"/>
            <w:tcW w:w="2552" w:type="dxa"/>
          </w:tcPr>
          <w:p w:rsidR="005A1B74" w:rsidRPr="00621793" w:rsidRDefault="005A1B74" w:rsidP="002D1E7C">
            <w:pPr>
              <w:ind w:right="-106" w:hanging="25"/>
              <w:jc w:val="center"/>
              <w:rPr>
                <w:rFonts w:asciiTheme="minorHAnsi" w:hAnsiTheme="minorHAnsi"/>
                <w:b w:val="0"/>
                <w:sz w:val="20"/>
                <w:szCs w:val="20"/>
                <w:lang w:val="sr-Cyrl-BA"/>
              </w:rPr>
            </w:pPr>
            <w:r w:rsidRPr="00621793">
              <w:rPr>
                <w:rFonts w:asciiTheme="minorHAnsi" w:hAnsiTheme="minorHAnsi"/>
                <w:b w:val="0"/>
                <w:sz w:val="18"/>
                <w:szCs w:val="18"/>
                <w:lang w:val="sr-Cyrl-BA"/>
              </w:rPr>
              <w:t>Dozvola izdata</w:t>
            </w:r>
            <w:r w:rsidRPr="00621793">
              <w:rPr>
                <w:rFonts w:asciiTheme="minorHAnsi" w:hAnsiTheme="minorHAnsi"/>
                <w:b w:val="0"/>
                <w:sz w:val="18"/>
                <w:szCs w:val="18"/>
                <w:lang w:val="sr-Latn-BA"/>
              </w:rPr>
              <w:t xml:space="preserve"> </w:t>
            </w:r>
            <w:r w:rsidRPr="00621793">
              <w:rPr>
                <w:rFonts w:asciiTheme="minorHAnsi" w:hAnsiTheme="minorHAnsi"/>
                <w:b w:val="0"/>
                <w:sz w:val="18"/>
                <w:szCs w:val="18"/>
                <w:lang w:val="sr-Cyrl-BA"/>
              </w:rPr>
              <w:t>prvi put</w:t>
            </w:r>
            <w:r w:rsidRPr="00621793" w:rsidDel="00120B8A">
              <w:rPr>
                <w:rFonts w:asciiTheme="minorHAnsi" w:hAnsiTheme="minorHAnsi"/>
                <w:b w:val="0"/>
                <w:sz w:val="18"/>
                <w:szCs w:val="18"/>
                <w:lang w:val="sr-Cyrl-BA"/>
              </w:rPr>
              <w:t xml:space="preserve"> </w:t>
            </w:r>
            <w:r w:rsidRPr="00621793">
              <w:rPr>
                <w:rFonts w:asciiTheme="minorHAnsi" w:hAnsiTheme="minorHAnsi"/>
                <w:b w:val="0"/>
                <w:sz w:val="18"/>
                <w:szCs w:val="18"/>
                <w:lang w:val="sr-Cyrl-BA"/>
              </w:rPr>
              <w:t xml:space="preserve">(dozvola obuhvatila proizvodne objekte </w:t>
            </w:r>
            <w:r w:rsidRPr="00621793">
              <w:rPr>
                <w:rFonts w:asciiTheme="minorHAnsi" w:hAnsiTheme="minorHAnsi"/>
                <w:b w:val="0"/>
                <w:iCs/>
                <w:sz w:val="18"/>
                <w:szCs w:val="18"/>
                <w:lang w:val="sr-Cyrl-BA"/>
              </w:rPr>
              <w:t>MSE "</w:t>
            </w:r>
            <w:r w:rsidRPr="00621793">
              <w:rPr>
                <w:rFonts w:asciiTheme="minorHAnsi" w:hAnsiTheme="minorHAnsi"/>
                <w:b w:val="0"/>
                <w:iCs/>
                <w:sz w:val="18"/>
                <w:szCs w:val="18"/>
              </w:rPr>
              <w:t>Skugrić 1,2,3,4,5,7,8</w:t>
            </w:r>
            <w:r w:rsidRPr="00621793">
              <w:rPr>
                <w:rFonts w:asciiTheme="minorHAnsi" w:hAnsiTheme="minorHAnsi"/>
                <w:b w:val="0"/>
                <w:iCs/>
                <w:sz w:val="18"/>
                <w:szCs w:val="18"/>
                <w:lang w:val="sr-Cyrl-BA"/>
              </w:rPr>
              <w:t xml:space="preserve">" i MSE </w:t>
            </w:r>
            <w:r w:rsidRPr="00621793">
              <w:rPr>
                <w:rFonts w:asciiTheme="minorHAnsi" w:hAnsiTheme="minorHAnsi"/>
                <w:b w:val="0"/>
                <w:iCs/>
                <w:sz w:val="18"/>
                <w:szCs w:val="18"/>
              </w:rPr>
              <w:t>"Skugrić Gornji 250 kWp"</w:t>
            </w:r>
            <w:r w:rsidRPr="00621793">
              <w:rPr>
                <w:rFonts w:asciiTheme="minorHAnsi" w:hAnsiTheme="minorHAnsi"/>
                <w:b w:val="0"/>
                <w:iCs/>
                <w:sz w:val="18"/>
                <w:szCs w:val="18"/>
                <w:lang w:val="sr-Cyrl-BA"/>
              </w:rPr>
              <w:t>)</w:t>
            </w:r>
          </w:p>
        </w:tc>
      </w:tr>
      <w:tr w:rsidR="005A1B74" w:rsidRPr="008144B0" w:rsidTr="00621793">
        <w:trPr>
          <w:trHeight w:val="807"/>
        </w:trPr>
        <w:tc>
          <w:tcPr>
            <w:cnfStyle w:val="001000000000" w:firstRow="0" w:lastRow="0" w:firstColumn="1" w:lastColumn="0" w:oddVBand="0" w:evenVBand="0" w:oddHBand="0" w:evenHBand="0" w:firstRowFirstColumn="0" w:firstRowLastColumn="0" w:lastRowFirstColumn="0" w:lastRowLastColumn="0"/>
            <w:tcW w:w="659" w:type="dxa"/>
          </w:tcPr>
          <w:p w:rsidR="005A1B74" w:rsidRPr="008144B0" w:rsidRDefault="005A1B74" w:rsidP="002D1E7C">
            <w:pPr>
              <w:jc w:val="center"/>
              <w:rPr>
                <w:rFonts w:asciiTheme="minorHAnsi" w:hAnsiTheme="minorHAnsi" w:cs="Calibri"/>
                <w:sz w:val="20"/>
                <w:szCs w:val="20"/>
                <w:lang w:val="bs-Latn-BA"/>
              </w:rPr>
            </w:pPr>
            <w:r w:rsidRPr="008144B0">
              <w:rPr>
                <w:rFonts w:asciiTheme="minorHAnsi" w:hAnsiTheme="minorHAnsi" w:cs="Calibri"/>
                <w:sz w:val="20"/>
                <w:szCs w:val="20"/>
                <w:lang w:val="bs-Latn-BA"/>
              </w:rPr>
              <w:t>22.</w:t>
            </w:r>
            <w:r w:rsidRPr="008144B0">
              <w:rPr>
                <w:rFonts w:asciiTheme="minorHAnsi" w:hAnsiTheme="minorHAnsi" w:cs="Calibri"/>
                <w:sz w:val="20"/>
                <w:szCs w:val="20"/>
                <w:lang w:val="sr-Cyrl-BA"/>
              </w:rPr>
              <w:t xml:space="preserve"> *</w:t>
            </w:r>
          </w:p>
        </w:tc>
        <w:tc>
          <w:tcPr>
            <w:cnfStyle w:val="000010000000" w:firstRow="0" w:lastRow="0" w:firstColumn="0" w:lastColumn="0" w:oddVBand="1" w:evenVBand="0" w:oddHBand="0" w:evenHBand="0" w:firstRowFirstColumn="0" w:firstRowLastColumn="0" w:lastRowFirstColumn="0" w:lastRowLastColumn="0"/>
            <w:tcW w:w="2403" w:type="dxa"/>
          </w:tcPr>
          <w:p w:rsidR="005A1B74" w:rsidRPr="008144B0" w:rsidRDefault="005A1B74" w:rsidP="002D1E7C">
            <w:pPr>
              <w:jc w:val="center"/>
              <w:rPr>
                <w:rFonts w:asciiTheme="minorHAnsi" w:hAnsiTheme="minorHAnsi"/>
                <w:sz w:val="20"/>
                <w:szCs w:val="20"/>
              </w:rPr>
            </w:pPr>
            <w:r w:rsidRPr="008144B0">
              <w:rPr>
                <w:rFonts w:asciiTheme="minorHAnsi" w:hAnsiTheme="minorHAnsi"/>
                <w:sz w:val="20"/>
                <w:szCs w:val="20"/>
                <w:lang w:val="sr-Cyrl-BA"/>
              </w:rPr>
              <w:t>"SDB group" d.o.o Istočno Novo Sarajevo</w:t>
            </w:r>
          </w:p>
        </w:tc>
        <w:tc>
          <w:tcPr>
            <w:tcW w:w="2041" w:type="dxa"/>
          </w:tcPr>
          <w:p w:rsidR="005A1B74" w:rsidRPr="008144B0" w:rsidRDefault="005A1B74" w:rsidP="002D1E7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proizvodnja električne energije</w:t>
            </w:r>
          </w:p>
        </w:tc>
        <w:tc>
          <w:tcPr>
            <w:cnfStyle w:val="000010000000" w:firstRow="0" w:lastRow="0" w:firstColumn="0" w:lastColumn="0" w:oddVBand="1" w:evenVBand="0" w:oddHBand="0" w:evenHBand="0" w:firstRowFirstColumn="0" w:firstRowLastColumn="0" w:lastRowFirstColumn="0" w:lastRowLastColumn="0"/>
            <w:tcW w:w="2127" w:type="dxa"/>
          </w:tcPr>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lang w:val="sr-Cyrl-BA"/>
              </w:rPr>
              <w:t>Zahtjev za izdavanje dozvole podnesen 26</w:t>
            </w:r>
            <w:r w:rsidRPr="008144B0">
              <w:rPr>
                <w:rFonts w:asciiTheme="minorHAnsi" w:hAnsiTheme="minorHAnsi"/>
                <w:sz w:val="20"/>
                <w:szCs w:val="20"/>
              </w:rPr>
              <w:t>.12.202</w:t>
            </w:r>
            <w:r w:rsidRPr="008144B0">
              <w:rPr>
                <w:rFonts w:asciiTheme="minorHAnsi" w:hAnsiTheme="minorHAnsi"/>
                <w:sz w:val="20"/>
                <w:szCs w:val="20"/>
                <w:lang w:val="sr-Cyrl-BA"/>
              </w:rPr>
              <w:t xml:space="preserve">4. godine     </w:t>
            </w:r>
          </w:p>
        </w:tc>
        <w:tc>
          <w:tcPr>
            <w:cnfStyle w:val="000100000000" w:firstRow="0" w:lastRow="0" w:firstColumn="0" w:lastColumn="1" w:oddVBand="0" w:evenVBand="0" w:oddHBand="0" w:evenHBand="0" w:firstRowFirstColumn="0" w:firstRowLastColumn="0" w:lastRowFirstColumn="0" w:lastRowLastColumn="0"/>
            <w:tcW w:w="2552" w:type="dxa"/>
          </w:tcPr>
          <w:p w:rsidR="005A1B74" w:rsidRPr="00621793" w:rsidRDefault="005A1B74" w:rsidP="002D1E7C">
            <w:pPr>
              <w:ind w:left="-84" w:right="-95"/>
              <w:jc w:val="center"/>
              <w:rPr>
                <w:rFonts w:asciiTheme="minorHAnsi" w:hAnsiTheme="minorHAnsi"/>
                <w:b w:val="0"/>
                <w:color w:val="auto"/>
                <w:sz w:val="18"/>
                <w:szCs w:val="18"/>
                <w:lang w:val="sr-Cyrl-BA"/>
              </w:rPr>
            </w:pPr>
            <w:r w:rsidRPr="00621793">
              <w:rPr>
                <w:rFonts w:asciiTheme="minorHAnsi" w:hAnsiTheme="minorHAnsi"/>
                <w:b w:val="0"/>
                <w:sz w:val="18"/>
                <w:szCs w:val="18"/>
                <w:lang w:val="sr-Cyrl-BA"/>
              </w:rPr>
              <w:t>Postupak završen početkom 2025. godine</w:t>
            </w:r>
          </w:p>
          <w:p w:rsidR="005A1B74" w:rsidRPr="00621793" w:rsidRDefault="005A1B74" w:rsidP="002D1E7C">
            <w:pPr>
              <w:jc w:val="center"/>
              <w:rPr>
                <w:rFonts w:asciiTheme="minorHAnsi" w:hAnsiTheme="minorHAnsi"/>
                <w:b w:val="0"/>
                <w:sz w:val="20"/>
                <w:szCs w:val="20"/>
                <w:lang w:val="sr-Cyrl-BA"/>
              </w:rPr>
            </w:pPr>
            <w:r w:rsidRPr="00621793">
              <w:rPr>
                <w:rFonts w:asciiTheme="minorHAnsi" w:hAnsiTheme="minorHAnsi"/>
                <w:b w:val="0"/>
                <w:sz w:val="18"/>
                <w:szCs w:val="18"/>
                <w:lang w:val="sr-Cyrl-BA"/>
              </w:rPr>
              <w:t xml:space="preserve">(dozvola obuhvatila proizvodne objekte   </w:t>
            </w:r>
            <w:r w:rsidRPr="00621793">
              <w:rPr>
                <w:rFonts w:asciiTheme="minorHAnsi" w:hAnsiTheme="minorHAnsi"/>
                <w:b w:val="0"/>
                <w:iCs/>
                <w:sz w:val="18"/>
                <w:szCs w:val="18"/>
                <w:lang w:val="sr-Cyrl-BA"/>
              </w:rPr>
              <w:t>MSE „</w:t>
            </w:r>
            <w:r w:rsidRPr="00621793">
              <w:rPr>
                <w:rFonts w:asciiTheme="minorHAnsi" w:hAnsiTheme="minorHAnsi"/>
                <w:b w:val="0"/>
                <w:iCs/>
                <w:sz w:val="18"/>
                <w:szCs w:val="18"/>
              </w:rPr>
              <w:t>Srđevići</w:t>
            </w:r>
            <w:r w:rsidRPr="00621793">
              <w:rPr>
                <w:rFonts w:asciiTheme="minorHAnsi" w:hAnsiTheme="minorHAnsi"/>
                <w:b w:val="0"/>
                <w:iCs/>
                <w:sz w:val="18"/>
                <w:szCs w:val="18"/>
                <w:lang w:val="sr-Cyrl-BA"/>
              </w:rPr>
              <w:t xml:space="preserve"> 1-9“ i MSE „</w:t>
            </w:r>
            <w:r w:rsidRPr="00621793">
              <w:rPr>
                <w:rFonts w:asciiTheme="minorHAnsi" w:hAnsiTheme="minorHAnsi"/>
                <w:b w:val="0"/>
                <w:iCs/>
                <w:sz w:val="18"/>
                <w:szCs w:val="18"/>
              </w:rPr>
              <w:t>Euro</w:t>
            </w:r>
            <w:r w:rsidRPr="00621793">
              <w:rPr>
                <w:rFonts w:asciiTheme="minorHAnsi" w:hAnsiTheme="minorHAnsi"/>
                <w:b w:val="0"/>
                <w:iCs/>
                <w:sz w:val="18"/>
                <w:szCs w:val="18"/>
                <w:lang w:val="sr-Cyrl-BA"/>
              </w:rPr>
              <w:t xml:space="preserve"> 1-3“</w:t>
            </w:r>
            <w:r w:rsidRPr="00621793">
              <w:rPr>
                <w:rFonts w:asciiTheme="minorHAnsi" w:hAnsiTheme="minorHAnsi"/>
                <w:b w:val="0"/>
                <w:sz w:val="18"/>
                <w:szCs w:val="18"/>
                <w:lang w:val="sr-Cyrl-BA"/>
              </w:rPr>
              <w:t>)</w:t>
            </w:r>
          </w:p>
        </w:tc>
      </w:tr>
      <w:tr w:rsidR="005A1B74" w:rsidRPr="008144B0" w:rsidTr="00621793">
        <w:trPr>
          <w:cnfStyle w:val="000000100000" w:firstRow="0" w:lastRow="0" w:firstColumn="0" w:lastColumn="0" w:oddVBand="0" w:evenVBand="0" w:oddHBand="1" w:evenHBand="0" w:firstRowFirstColumn="0" w:firstRowLastColumn="0" w:lastRowFirstColumn="0" w:lastRowLastColumn="0"/>
          <w:trHeight w:val="807"/>
        </w:trPr>
        <w:tc>
          <w:tcPr>
            <w:cnfStyle w:val="001000000000" w:firstRow="0" w:lastRow="0" w:firstColumn="1" w:lastColumn="0" w:oddVBand="0" w:evenVBand="0" w:oddHBand="0" w:evenHBand="0" w:firstRowFirstColumn="0" w:firstRowLastColumn="0" w:lastRowFirstColumn="0" w:lastRowLastColumn="0"/>
            <w:tcW w:w="659" w:type="dxa"/>
          </w:tcPr>
          <w:p w:rsidR="005A1B74" w:rsidRPr="008144B0" w:rsidRDefault="005A1B74" w:rsidP="002D1E7C">
            <w:pPr>
              <w:jc w:val="center"/>
              <w:rPr>
                <w:rFonts w:asciiTheme="minorHAnsi" w:hAnsiTheme="minorHAnsi" w:cs="Calibri"/>
                <w:sz w:val="20"/>
                <w:szCs w:val="20"/>
                <w:lang w:val="bs-Latn-BA"/>
              </w:rPr>
            </w:pPr>
            <w:r w:rsidRPr="008144B0">
              <w:rPr>
                <w:rFonts w:asciiTheme="minorHAnsi" w:hAnsiTheme="minorHAnsi" w:cs="Calibri"/>
                <w:sz w:val="20"/>
                <w:szCs w:val="20"/>
                <w:lang w:val="bs-Latn-BA"/>
              </w:rPr>
              <w:t>23.</w:t>
            </w:r>
          </w:p>
        </w:tc>
        <w:tc>
          <w:tcPr>
            <w:cnfStyle w:val="000010000000" w:firstRow="0" w:lastRow="0" w:firstColumn="0" w:lastColumn="0" w:oddVBand="1" w:evenVBand="0" w:oddHBand="0" w:evenHBand="0" w:firstRowFirstColumn="0" w:firstRowLastColumn="0" w:lastRowFirstColumn="0" w:lastRowLastColumn="0"/>
            <w:tcW w:w="2403" w:type="dxa"/>
          </w:tcPr>
          <w:p w:rsidR="005A1B74" w:rsidRPr="008144B0" w:rsidRDefault="005A1B74" w:rsidP="002D1E7C">
            <w:pPr>
              <w:jc w:val="center"/>
              <w:rPr>
                <w:rFonts w:asciiTheme="minorHAnsi" w:hAnsiTheme="minorHAnsi"/>
                <w:sz w:val="20"/>
                <w:szCs w:val="20"/>
              </w:rPr>
            </w:pPr>
            <w:r w:rsidRPr="008144B0">
              <w:rPr>
                <w:rFonts w:asciiTheme="minorHAnsi" w:hAnsiTheme="minorHAnsi"/>
                <w:sz w:val="20"/>
                <w:szCs w:val="20"/>
              </w:rPr>
              <w:t>Mješoviti Holding "ERS", MP a.d. Trebinje - ZP "RiTE Gacko",</w:t>
            </w:r>
          </w:p>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rPr>
              <w:t>a.d. Gacko</w:t>
            </w:r>
          </w:p>
        </w:tc>
        <w:tc>
          <w:tcPr>
            <w:tcW w:w="2041" w:type="dxa"/>
          </w:tcPr>
          <w:p w:rsidR="005A1B74" w:rsidRPr="008144B0" w:rsidRDefault="005A1B74" w:rsidP="002D1E7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proizvodnja električne energije</w:t>
            </w:r>
          </w:p>
        </w:tc>
        <w:tc>
          <w:tcPr>
            <w:cnfStyle w:val="000010000000" w:firstRow="0" w:lastRow="0" w:firstColumn="0" w:lastColumn="0" w:oddVBand="1" w:evenVBand="0" w:oddHBand="0" w:evenHBand="0" w:firstRowFirstColumn="0" w:firstRowLastColumn="0" w:lastRowFirstColumn="0" w:lastRowLastColumn="0"/>
            <w:tcW w:w="2127" w:type="dxa"/>
          </w:tcPr>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lang w:val="sr-Cyrl-BA"/>
              </w:rPr>
              <w:t>Dozvola izdata 28.12.2024. na period od 10 godina</w:t>
            </w:r>
          </w:p>
        </w:tc>
        <w:tc>
          <w:tcPr>
            <w:cnfStyle w:val="000100000000" w:firstRow="0" w:lastRow="0" w:firstColumn="0" w:lastColumn="1" w:oddVBand="0" w:evenVBand="0" w:oddHBand="0" w:evenHBand="0" w:firstRowFirstColumn="0" w:firstRowLastColumn="0" w:lastRowFirstColumn="0" w:lastRowLastColumn="0"/>
            <w:tcW w:w="2552" w:type="dxa"/>
          </w:tcPr>
          <w:p w:rsidR="005A1B74" w:rsidRPr="00621793" w:rsidRDefault="005A1B74" w:rsidP="002D1E7C">
            <w:pPr>
              <w:jc w:val="center"/>
              <w:rPr>
                <w:rFonts w:asciiTheme="minorHAnsi" w:hAnsiTheme="minorHAnsi"/>
                <w:b w:val="0"/>
                <w:sz w:val="18"/>
                <w:szCs w:val="18"/>
                <w:lang w:val="sr-Cyrl-BA"/>
              </w:rPr>
            </w:pPr>
            <w:r w:rsidRPr="00621793">
              <w:rPr>
                <w:rFonts w:asciiTheme="minorHAnsi" w:hAnsiTheme="minorHAnsi"/>
                <w:b w:val="0"/>
                <w:sz w:val="18"/>
                <w:szCs w:val="18"/>
                <w:lang w:val="sr-Cyrl-BA"/>
              </w:rPr>
              <w:t>Produženje dozvole</w:t>
            </w:r>
          </w:p>
          <w:p w:rsidR="005A1B74" w:rsidRPr="00621793" w:rsidRDefault="005A1B74" w:rsidP="002D1E7C">
            <w:pPr>
              <w:ind w:left="-84" w:right="-95"/>
              <w:jc w:val="center"/>
              <w:rPr>
                <w:rFonts w:asciiTheme="minorHAnsi" w:hAnsiTheme="minorHAnsi"/>
                <w:b w:val="0"/>
                <w:sz w:val="18"/>
                <w:szCs w:val="18"/>
                <w:lang w:val="sr-Cyrl-BA"/>
              </w:rPr>
            </w:pPr>
            <w:r w:rsidRPr="00621793">
              <w:rPr>
                <w:rFonts w:asciiTheme="minorHAnsi" w:hAnsiTheme="minorHAnsi"/>
                <w:b w:val="0"/>
                <w:sz w:val="18"/>
                <w:szCs w:val="18"/>
                <w:lang w:val="sr-Cyrl-BA"/>
              </w:rPr>
              <w:t xml:space="preserve">(dozvola obuhvatila proizvodni objekat </w:t>
            </w:r>
          </w:p>
          <w:p w:rsidR="005A1B74" w:rsidRPr="00621793" w:rsidRDefault="005A1B74" w:rsidP="002D1E7C">
            <w:pPr>
              <w:ind w:left="-84" w:right="-95"/>
              <w:jc w:val="center"/>
              <w:rPr>
                <w:rFonts w:asciiTheme="minorHAnsi" w:hAnsiTheme="minorHAnsi"/>
                <w:b w:val="0"/>
                <w:sz w:val="18"/>
                <w:szCs w:val="18"/>
                <w:lang w:val="sr-Cyrl-BA"/>
              </w:rPr>
            </w:pPr>
            <w:r w:rsidRPr="00621793">
              <w:rPr>
                <w:rFonts w:asciiTheme="minorHAnsi" w:hAnsiTheme="minorHAnsi"/>
                <w:b w:val="0"/>
                <w:sz w:val="18"/>
                <w:szCs w:val="18"/>
                <w:lang w:val="sr-Cyrl-BA"/>
              </w:rPr>
              <w:t>T</w:t>
            </w:r>
            <w:r w:rsidRPr="00621793">
              <w:rPr>
                <w:rFonts w:asciiTheme="minorHAnsi" w:hAnsiTheme="minorHAnsi"/>
                <w:b w:val="0"/>
                <w:iCs/>
                <w:sz w:val="18"/>
                <w:szCs w:val="18"/>
                <w:lang w:val="sr-Cyrl-BA"/>
              </w:rPr>
              <w:t>E „</w:t>
            </w:r>
            <w:r w:rsidRPr="00621793">
              <w:rPr>
                <w:rFonts w:asciiTheme="minorHAnsi" w:hAnsiTheme="minorHAnsi"/>
                <w:b w:val="0"/>
                <w:iCs/>
                <w:sz w:val="18"/>
                <w:szCs w:val="18"/>
              </w:rPr>
              <w:t>Gacko</w:t>
            </w:r>
            <w:r w:rsidRPr="00621793">
              <w:rPr>
                <w:rFonts w:asciiTheme="minorHAnsi" w:hAnsiTheme="minorHAnsi"/>
                <w:b w:val="0"/>
                <w:iCs/>
                <w:sz w:val="18"/>
                <w:szCs w:val="18"/>
                <w:lang w:val="sr-Cyrl-BA"/>
              </w:rPr>
              <w:t>“)</w:t>
            </w:r>
          </w:p>
        </w:tc>
      </w:tr>
      <w:tr w:rsidR="005A1B74" w:rsidRPr="008144B0" w:rsidTr="00621793">
        <w:trPr>
          <w:trHeight w:val="807"/>
        </w:trPr>
        <w:tc>
          <w:tcPr>
            <w:cnfStyle w:val="001000000000" w:firstRow="0" w:lastRow="0" w:firstColumn="1" w:lastColumn="0" w:oddVBand="0" w:evenVBand="0" w:oddHBand="0" w:evenHBand="0" w:firstRowFirstColumn="0" w:firstRowLastColumn="0" w:lastRowFirstColumn="0" w:lastRowLastColumn="0"/>
            <w:tcW w:w="659" w:type="dxa"/>
          </w:tcPr>
          <w:p w:rsidR="005A1B74" w:rsidRPr="008144B0" w:rsidRDefault="005A1B74" w:rsidP="002D1E7C">
            <w:pPr>
              <w:jc w:val="center"/>
              <w:rPr>
                <w:rFonts w:asciiTheme="minorHAnsi" w:hAnsiTheme="minorHAnsi" w:cs="Calibri"/>
                <w:sz w:val="20"/>
                <w:szCs w:val="20"/>
                <w:lang w:val="bs-Latn-BA"/>
              </w:rPr>
            </w:pPr>
            <w:r w:rsidRPr="008144B0">
              <w:rPr>
                <w:rFonts w:asciiTheme="minorHAnsi" w:hAnsiTheme="minorHAnsi" w:cs="Calibri"/>
                <w:sz w:val="20"/>
                <w:szCs w:val="20"/>
                <w:lang w:val="bs-Latn-BA"/>
              </w:rPr>
              <w:t>24.</w:t>
            </w:r>
          </w:p>
        </w:tc>
        <w:tc>
          <w:tcPr>
            <w:cnfStyle w:val="000010000000" w:firstRow="0" w:lastRow="0" w:firstColumn="0" w:lastColumn="0" w:oddVBand="1" w:evenVBand="0" w:oddHBand="0" w:evenHBand="0" w:firstRowFirstColumn="0" w:firstRowLastColumn="0" w:lastRowFirstColumn="0" w:lastRowLastColumn="0"/>
            <w:tcW w:w="2403" w:type="dxa"/>
          </w:tcPr>
          <w:p w:rsidR="005A1B74" w:rsidRPr="008144B0" w:rsidRDefault="005A1B74" w:rsidP="002D1E7C">
            <w:pPr>
              <w:jc w:val="center"/>
              <w:rPr>
                <w:rFonts w:asciiTheme="minorHAnsi" w:hAnsiTheme="minorHAnsi"/>
                <w:sz w:val="20"/>
                <w:szCs w:val="20"/>
              </w:rPr>
            </w:pPr>
            <w:r w:rsidRPr="008144B0">
              <w:rPr>
                <w:rFonts w:asciiTheme="minorHAnsi" w:hAnsiTheme="minorHAnsi"/>
                <w:sz w:val="20"/>
                <w:szCs w:val="20"/>
              </w:rPr>
              <w:t>Mješoviti Holding "ERS" - MP a.d. Trebinje - ZP "RiTE</w:t>
            </w:r>
          </w:p>
          <w:p w:rsidR="005A1B74" w:rsidRPr="008144B0" w:rsidRDefault="005A1B74" w:rsidP="002D1E7C">
            <w:pPr>
              <w:jc w:val="center"/>
              <w:rPr>
                <w:rFonts w:asciiTheme="minorHAnsi" w:hAnsiTheme="minorHAnsi"/>
                <w:sz w:val="20"/>
                <w:szCs w:val="20"/>
              </w:rPr>
            </w:pPr>
            <w:r w:rsidRPr="008144B0">
              <w:rPr>
                <w:rFonts w:asciiTheme="minorHAnsi" w:hAnsiTheme="minorHAnsi"/>
                <w:sz w:val="20"/>
                <w:szCs w:val="20"/>
              </w:rPr>
              <w:t>Ugljevik" A.D. Ugljevik</w:t>
            </w:r>
          </w:p>
        </w:tc>
        <w:tc>
          <w:tcPr>
            <w:tcW w:w="2041" w:type="dxa"/>
          </w:tcPr>
          <w:p w:rsidR="005A1B74" w:rsidRPr="008144B0" w:rsidRDefault="005A1B74" w:rsidP="002D1E7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proizvodnja električne energije</w:t>
            </w:r>
          </w:p>
        </w:tc>
        <w:tc>
          <w:tcPr>
            <w:cnfStyle w:val="000010000000" w:firstRow="0" w:lastRow="0" w:firstColumn="0" w:lastColumn="0" w:oddVBand="1" w:evenVBand="0" w:oddHBand="0" w:evenHBand="0" w:firstRowFirstColumn="0" w:firstRowLastColumn="0" w:lastRowFirstColumn="0" w:lastRowLastColumn="0"/>
            <w:tcW w:w="2127" w:type="dxa"/>
          </w:tcPr>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lang w:val="sr-Cyrl-BA"/>
              </w:rPr>
              <w:t>Dozvola izdata 28.12.2024. na period od 10 godina</w:t>
            </w:r>
          </w:p>
        </w:tc>
        <w:tc>
          <w:tcPr>
            <w:cnfStyle w:val="000100000000" w:firstRow="0" w:lastRow="0" w:firstColumn="0" w:lastColumn="1" w:oddVBand="0" w:evenVBand="0" w:oddHBand="0" w:evenHBand="0" w:firstRowFirstColumn="0" w:firstRowLastColumn="0" w:lastRowFirstColumn="0" w:lastRowLastColumn="0"/>
            <w:tcW w:w="2552" w:type="dxa"/>
          </w:tcPr>
          <w:p w:rsidR="005A1B74" w:rsidRPr="00621793" w:rsidRDefault="005A1B74" w:rsidP="002D1E7C">
            <w:pPr>
              <w:jc w:val="center"/>
              <w:rPr>
                <w:rFonts w:asciiTheme="minorHAnsi" w:hAnsiTheme="minorHAnsi"/>
                <w:b w:val="0"/>
                <w:sz w:val="18"/>
                <w:szCs w:val="18"/>
                <w:lang w:val="sr-Cyrl-BA"/>
              </w:rPr>
            </w:pPr>
            <w:r w:rsidRPr="00621793">
              <w:rPr>
                <w:rFonts w:asciiTheme="minorHAnsi" w:hAnsiTheme="minorHAnsi"/>
                <w:b w:val="0"/>
                <w:sz w:val="18"/>
                <w:szCs w:val="18"/>
                <w:lang w:val="sr-Cyrl-BA"/>
              </w:rPr>
              <w:t>Produženje dozvole</w:t>
            </w:r>
          </w:p>
          <w:p w:rsidR="005A1B74" w:rsidRPr="00621793" w:rsidRDefault="005A1B74" w:rsidP="002D1E7C">
            <w:pPr>
              <w:jc w:val="center"/>
              <w:rPr>
                <w:rFonts w:asciiTheme="minorHAnsi" w:hAnsiTheme="minorHAnsi"/>
                <w:b w:val="0"/>
                <w:sz w:val="18"/>
                <w:szCs w:val="18"/>
                <w:lang w:val="sr-Cyrl-BA"/>
              </w:rPr>
            </w:pPr>
            <w:r w:rsidRPr="00621793">
              <w:rPr>
                <w:rFonts w:asciiTheme="minorHAnsi" w:hAnsiTheme="minorHAnsi"/>
                <w:b w:val="0"/>
                <w:sz w:val="18"/>
                <w:szCs w:val="18"/>
                <w:lang w:val="sr-Cyrl-BA"/>
              </w:rPr>
              <w:t xml:space="preserve">(dozvola obuhvatila proizvodne objekte </w:t>
            </w:r>
          </w:p>
          <w:p w:rsidR="005A1B74" w:rsidRPr="00621793" w:rsidRDefault="005A1B74" w:rsidP="002D1E7C">
            <w:pPr>
              <w:jc w:val="center"/>
              <w:rPr>
                <w:rFonts w:asciiTheme="minorHAnsi" w:hAnsiTheme="minorHAnsi"/>
                <w:b w:val="0"/>
                <w:iCs/>
                <w:sz w:val="18"/>
                <w:szCs w:val="18"/>
                <w:lang w:val="sr-Cyrl-BA"/>
              </w:rPr>
            </w:pPr>
            <w:r w:rsidRPr="00621793">
              <w:rPr>
                <w:rFonts w:asciiTheme="minorHAnsi" w:hAnsiTheme="minorHAnsi"/>
                <w:b w:val="0"/>
                <w:sz w:val="18"/>
                <w:szCs w:val="18"/>
                <w:lang w:val="sr-Cyrl-BA"/>
              </w:rPr>
              <w:t>T</w:t>
            </w:r>
            <w:r w:rsidRPr="00621793">
              <w:rPr>
                <w:rFonts w:asciiTheme="minorHAnsi" w:hAnsiTheme="minorHAnsi"/>
                <w:b w:val="0"/>
                <w:iCs/>
                <w:sz w:val="18"/>
                <w:szCs w:val="18"/>
                <w:lang w:val="sr-Cyrl-BA"/>
              </w:rPr>
              <w:t xml:space="preserve">E „Ugljevik“ i </w:t>
            </w:r>
          </w:p>
          <w:p w:rsidR="005A1B74" w:rsidRPr="00621793" w:rsidRDefault="005A1B74" w:rsidP="002D1E7C">
            <w:pPr>
              <w:jc w:val="center"/>
              <w:rPr>
                <w:rFonts w:asciiTheme="minorHAnsi" w:hAnsiTheme="minorHAnsi"/>
                <w:b w:val="0"/>
                <w:sz w:val="18"/>
                <w:szCs w:val="18"/>
                <w:lang w:val="sr-Cyrl-BA"/>
              </w:rPr>
            </w:pPr>
            <w:r w:rsidRPr="00621793">
              <w:rPr>
                <w:rFonts w:asciiTheme="minorHAnsi" w:hAnsiTheme="minorHAnsi"/>
                <w:b w:val="0"/>
                <w:iCs/>
                <w:sz w:val="18"/>
                <w:szCs w:val="18"/>
                <w:lang w:val="sr-Cyrl-BA"/>
              </w:rPr>
              <w:t>MSE „Ugljevik“)</w:t>
            </w:r>
          </w:p>
        </w:tc>
      </w:tr>
      <w:tr w:rsidR="005A1B74" w:rsidRPr="008144B0" w:rsidTr="00621793">
        <w:trPr>
          <w:cnfStyle w:val="000000100000" w:firstRow="0" w:lastRow="0" w:firstColumn="0" w:lastColumn="0" w:oddVBand="0" w:evenVBand="0" w:oddHBand="1" w:evenHBand="0" w:firstRowFirstColumn="0" w:firstRowLastColumn="0" w:lastRowFirstColumn="0" w:lastRowLastColumn="0"/>
          <w:trHeight w:val="807"/>
        </w:trPr>
        <w:tc>
          <w:tcPr>
            <w:cnfStyle w:val="001000000000" w:firstRow="0" w:lastRow="0" w:firstColumn="1" w:lastColumn="0" w:oddVBand="0" w:evenVBand="0" w:oddHBand="0" w:evenHBand="0" w:firstRowFirstColumn="0" w:firstRowLastColumn="0" w:lastRowFirstColumn="0" w:lastRowLastColumn="0"/>
            <w:tcW w:w="659" w:type="dxa"/>
          </w:tcPr>
          <w:p w:rsidR="005A1B74" w:rsidRPr="008144B0" w:rsidRDefault="005A1B74" w:rsidP="002D1E7C">
            <w:pPr>
              <w:jc w:val="center"/>
              <w:rPr>
                <w:rFonts w:asciiTheme="minorHAnsi" w:hAnsiTheme="minorHAnsi" w:cs="Calibri"/>
                <w:sz w:val="20"/>
                <w:szCs w:val="20"/>
                <w:lang w:val="bs-Latn-BA"/>
              </w:rPr>
            </w:pPr>
            <w:r w:rsidRPr="008144B0">
              <w:rPr>
                <w:rFonts w:asciiTheme="minorHAnsi" w:hAnsiTheme="minorHAnsi" w:cs="Calibri"/>
                <w:sz w:val="20"/>
                <w:szCs w:val="20"/>
                <w:lang w:val="bs-Latn-BA"/>
              </w:rPr>
              <w:t>25.</w:t>
            </w:r>
            <w:r w:rsidRPr="008144B0">
              <w:rPr>
                <w:rFonts w:asciiTheme="minorHAnsi" w:hAnsiTheme="minorHAnsi" w:cs="Calibri"/>
                <w:sz w:val="20"/>
                <w:szCs w:val="20"/>
                <w:lang w:val="sr-Cyrl-BA"/>
              </w:rPr>
              <w:t xml:space="preserve"> *</w:t>
            </w:r>
          </w:p>
        </w:tc>
        <w:tc>
          <w:tcPr>
            <w:cnfStyle w:val="000010000000" w:firstRow="0" w:lastRow="0" w:firstColumn="0" w:lastColumn="0" w:oddVBand="1" w:evenVBand="0" w:oddHBand="0" w:evenHBand="0" w:firstRowFirstColumn="0" w:firstRowLastColumn="0" w:lastRowFirstColumn="0" w:lastRowLastColumn="0"/>
            <w:tcW w:w="2403" w:type="dxa"/>
          </w:tcPr>
          <w:p w:rsidR="005A1B74" w:rsidRPr="008144B0" w:rsidRDefault="005A1B74" w:rsidP="002D1E7C">
            <w:pPr>
              <w:jc w:val="center"/>
              <w:rPr>
                <w:rFonts w:asciiTheme="minorHAnsi" w:hAnsiTheme="minorHAnsi"/>
                <w:sz w:val="20"/>
                <w:szCs w:val="20"/>
              </w:rPr>
            </w:pPr>
            <w:r w:rsidRPr="008144B0">
              <w:rPr>
                <w:rFonts w:asciiTheme="minorHAnsi" w:hAnsiTheme="minorHAnsi"/>
                <w:sz w:val="20"/>
                <w:szCs w:val="20"/>
              </w:rPr>
              <w:t>Arboleda d.o.o. Bileća</w:t>
            </w:r>
          </w:p>
        </w:tc>
        <w:tc>
          <w:tcPr>
            <w:tcW w:w="2041" w:type="dxa"/>
          </w:tcPr>
          <w:p w:rsidR="005A1B74" w:rsidRPr="008144B0" w:rsidRDefault="005A1B74" w:rsidP="002D1E7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proizvodnja električne energije</w:t>
            </w:r>
          </w:p>
        </w:tc>
        <w:tc>
          <w:tcPr>
            <w:cnfStyle w:val="000010000000" w:firstRow="0" w:lastRow="0" w:firstColumn="0" w:lastColumn="0" w:oddVBand="1" w:evenVBand="0" w:oddHBand="0" w:evenHBand="0" w:firstRowFirstColumn="0" w:firstRowLastColumn="0" w:lastRowFirstColumn="0" w:lastRowLastColumn="0"/>
            <w:tcW w:w="2127" w:type="dxa"/>
          </w:tcPr>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lang w:val="sr-Cyrl-BA"/>
              </w:rPr>
              <w:t>Dozvola izdata 30.12.2024. na period od pet godina</w:t>
            </w:r>
          </w:p>
        </w:tc>
        <w:tc>
          <w:tcPr>
            <w:cnfStyle w:val="000100000000" w:firstRow="0" w:lastRow="0" w:firstColumn="0" w:lastColumn="1" w:oddVBand="0" w:evenVBand="0" w:oddHBand="0" w:evenHBand="0" w:firstRowFirstColumn="0" w:firstRowLastColumn="0" w:lastRowFirstColumn="0" w:lastRowLastColumn="0"/>
            <w:tcW w:w="2552" w:type="dxa"/>
          </w:tcPr>
          <w:p w:rsidR="005A1B74" w:rsidRPr="00621793" w:rsidRDefault="005A1B74" w:rsidP="002D1E7C">
            <w:pPr>
              <w:jc w:val="center"/>
              <w:rPr>
                <w:rFonts w:asciiTheme="minorHAnsi" w:hAnsiTheme="minorHAnsi"/>
                <w:b w:val="0"/>
                <w:sz w:val="20"/>
                <w:szCs w:val="20"/>
                <w:lang w:val="sr-Cyrl-BA"/>
              </w:rPr>
            </w:pPr>
            <w:r w:rsidRPr="00621793">
              <w:rPr>
                <w:rFonts w:asciiTheme="minorHAnsi" w:hAnsiTheme="minorHAnsi"/>
                <w:b w:val="0"/>
                <w:sz w:val="18"/>
                <w:szCs w:val="18"/>
                <w:lang w:val="sr-Cyrl-BA"/>
              </w:rPr>
              <w:t>Dozvola izdata</w:t>
            </w:r>
            <w:r w:rsidRPr="00621793">
              <w:rPr>
                <w:rFonts w:asciiTheme="minorHAnsi" w:hAnsiTheme="minorHAnsi"/>
                <w:b w:val="0"/>
                <w:sz w:val="18"/>
                <w:szCs w:val="18"/>
                <w:lang w:val="sr-Latn-BA"/>
              </w:rPr>
              <w:t xml:space="preserve"> </w:t>
            </w:r>
            <w:r w:rsidRPr="00621793">
              <w:rPr>
                <w:rFonts w:asciiTheme="minorHAnsi" w:hAnsiTheme="minorHAnsi"/>
                <w:b w:val="0"/>
                <w:sz w:val="18"/>
                <w:szCs w:val="18"/>
                <w:lang w:val="sr-Cyrl-BA"/>
              </w:rPr>
              <w:t>prvi put</w:t>
            </w:r>
            <w:r w:rsidRPr="00621793" w:rsidDel="00120B8A">
              <w:rPr>
                <w:rFonts w:asciiTheme="minorHAnsi" w:hAnsiTheme="minorHAnsi"/>
                <w:b w:val="0"/>
                <w:sz w:val="18"/>
                <w:szCs w:val="18"/>
                <w:lang w:val="sr-Cyrl-BA"/>
              </w:rPr>
              <w:t xml:space="preserve"> </w:t>
            </w:r>
            <w:r w:rsidRPr="00621793">
              <w:rPr>
                <w:rFonts w:asciiTheme="minorHAnsi" w:hAnsiTheme="minorHAnsi"/>
                <w:b w:val="0"/>
                <w:sz w:val="18"/>
                <w:szCs w:val="18"/>
                <w:lang w:val="sr-Cyrl-BA"/>
              </w:rPr>
              <w:t xml:space="preserve">(dozvola obuhvatila proizvodne objekte </w:t>
            </w:r>
            <w:r w:rsidRPr="00621793">
              <w:rPr>
                <w:rFonts w:asciiTheme="minorHAnsi" w:hAnsiTheme="minorHAnsi"/>
                <w:b w:val="0"/>
                <w:iCs/>
                <w:sz w:val="18"/>
                <w:szCs w:val="18"/>
                <w:lang w:val="sr-Cyrl-BA"/>
              </w:rPr>
              <w:t>MSE "Jezerine 1-8")</w:t>
            </w:r>
          </w:p>
        </w:tc>
      </w:tr>
      <w:tr w:rsidR="005A1B74" w:rsidRPr="008144B0" w:rsidTr="00621793">
        <w:trPr>
          <w:trHeight w:val="807"/>
        </w:trPr>
        <w:tc>
          <w:tcPr>
            <w:cnfStyle w:val="001000000000" w:firstRow="0" w:lastRow="0" w:firstColumn="1" w:lastColumn="0" w:oddVBand="0" w:evenVBand="0" w:oddHBand="0" w:evenHBand="0" w:firstRowFirstColumn="0" w:firstRowLastColumn="0" w:lastRowFirstColumn="0" w:lastRowLastColumn="0"/>
            <w:tcW w:w="659" w:type="dxa"/>
          </w:tcPr>
          <w:p w:rsidR="005A1B74" w:rsidRPr="008144B0" w:rsidRDefault="005A1B74" w:rsidP="002D1E7C">
            <w:pPr>
              <w:jc w:val="center"/>
              <w:rPr>
                <w:rFonts w:asciiTheme="minorHAnsi" w:hAnsiTheme="minorHAnsi" w:cs="Calibri"/>
                <w:sz w:val="20"/>
                <w:szCs w:val="20"/>
                <w:lang w:val="bs-Latn-BA"/>
              </w:rPr>
            </w:pPr>
            <w:r w:rsidRPr="008144B0">
              <w:rPr>
                <w:rFonts w:asciiTheme="minorHAnsi" w:hAnsiTheme="minorHAnsi" w:cs="Calibri"/>
                <w:sz w:val="20"/>
                <w:szCs w:val="20"/>
                <w:lang w:val="bs-Latn-BA"/>
              </w:rPr>
              <w:t>26.</w:t>
            </w:r>
          </w:p>
        </w:tc>
        <w:tc>
          <w:tcPr>
            <w:cnfStyle w:val="000010000000" w:firstRow="0" w:lastRow="0" w:firstColumn="0" w:lastColumn="0" w:oddVBand="1" w:evenVBand="0" w:oddHBand="0" w:evenHBand="0" w:firstRowFirstColumn="0" w:firstRowLastColumn="0" w:lastRowFirstColumn="0" w:lastRowLastColumn="0"/>
            <w:tcW w:w="2403" w:type="dxa"/>
          </w:tcPr>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lang w:val="sr-Cyrl-BA"/>
              </w:rPr>
              <w:t xml:space="preserve">ODS "Elektrokrajina" </w:t>
            </w:r>
          </w:p>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lang w:val="sr-Cyrl-BA"/>
              </w:rPr>
              <w:t>a.d. Banja Luka</w:t>
            </w:r>
          </w:p>
        </w:tc>
        <w:tc>
          <w:tcPr>
            <w:tcW w:w="2041" w:type="dxa"/>
          </w:tcPr>
          <w:p w:rsidR="005A1B74" w:rsidRPr="008144B0" w:rsidRDefault="005A1B74" w:rsidP="002D1E7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Distribucija električne energije i upravljanje distributivnim sistemom električne energije</w:t>
            </w:r>
          </w:p>
        </w:tc>
        <w:tc>
          <w:tcPr>
            <w:cnfStyle w:val="000010000000" w:firstRow="0" w:lastRow="0" w:firstColumn="0" w:lastColumn="0" w:oddVBand="1" w:evenVBand="0" w:oddHBand="0" w:evenHBand="0" w:firstRowFirstColumn="0" w:firstRowLastColumn="0" w:lastRowFirstColumn="0" w:lastRowLastColumn="0"/>
            <w:tcW w:w="2127" w:type="dxa"/>
          </w:tcPr>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lang w:val="sr-Cyrl-BA"/>
              </w:rPr>
              <w:t>Dozvola izdata na period važenja od deset  godina, počev od 28.12.2024. godine</w:t>
            </w:r>
          </w:p>
        </w:tc>
        <w:tc>
          <w:tcPr>
            <w:cnfStyle w:val="000100000000" w:firstRow="0" w:lastRow="0" w:firstColumn="0" w:lastColumn="1" w:oddVBand="0" w:evenVBand="0" w:oddHBand="0" w:evenHBand="0" w:firstRowFirstColumn="0" w:firstRowLastColumn="0" w:lastRowFirstColumn="0" w:lastRowLastColumn="0"/>
            <w:tcW w:w="2552" w:type="dxa"/>
          </w:tcPr>
          <w:p w:rsidR="005A1B74" w:rsidRPr="00621793" w:rsidRDefault="005A1B74" w:rsidP="002D1E7C">
            <w:pPr>
              <w:ind w:left="-93" w:right="-106" w:firstLine="9"/>
              <w:jc w:val="center"/>
              <w:rPr>
                <w:rFonts w:asciiTheme="minorHAnsi" w:hAnsiTheme="minorHAnsi"/>
                <w:b w:val="0"/>
                <w:sz w:val="18"/>
                <w:szCs w:val="18"/>
                <w:lang w:val="sr-Cyrl-BA"/>
              </w:rPr>
            </w:pPr>
            <w:r w:rsidRPr="00621793">
              <w:rPr>
                <w:rFonts w:asciiTheme="minorHAnsi" w:hAnsiTheme="minorHAnsi"/>
                <w:b w:val="0"/>
                <w:sz w:val="18"/>
                <w:szCs w:val="18"/>
                <w:lang w:val="sr-Cyrl-BA"/>
              </w:rPr>
              <w:t>Produženje dozvole</w:t>
            </w:r>
          </w:p>
        </w:tc>
      </w:tr>
      <w:tr w:rsidR="005A1B74" w:rsidRPr="008144B0" w:rsidTr="00621793">
        <w:trPr>
          <w:cnfStyle w:val="000000100000" w:firstRow="0" w:lastRow="0" w:firstColumn="0" w:lastColumn="0" w:oddVBand="0" w:evenVBand="0" w:oddHBand="1" w:evenHBand="0" w:firstRowFirstColumn="0" w:firstRowLastColumn="0" w:lastRowFirstColumn="0" w:lastRowLastColumn="0"/>
          <w:trHeight w:val="807"/>
        </w:trPr>
        <w:tc>
          <w:tcPr>
            <w:cnfStyle w:val="001000000000" w:firstRow="0" w:lastRow="0" w:firstColumn="1" w:lastColumn="0" w:oddVBand="0" w:evenVBand="0" w:oddHBand="0" w:evenHBand="0" w:firstRowFirstColumn="0" w:firstRowLastColumn="0" w:lastRowFirstColumn="0" w:lastRowLastColumn="0"/>
            <w:tcW w:w="659" w:type="dxa"/>
          </w:tcPr>
          <w:p w:rsidR="005A1B74" w:rsidRPr="008144B0" w:rsidRDefault="005A1B74" w:rsidP="002D1E7C">
            <w:pPr>
              <w:jc w:val="center"/>
              <w:rPr>
                <w:rFonts w:asciiTheme="minorHAnsi" w:hAnsiTheme="minorHAnsi" w:cs="Calibri"/>
                <w:sz w:val="20"/>
                <w:szCs w:val="20"/>
                <w:lang w:val="bs-Latn-BA"/>
              </w:rPr>
            </w:pPr>
            <w:r w:rsidRPr="008144B0">
              <w:rPr>
                <w:rFonts w:asciiTheme="minorHAnsi" w:hAnsiTheme="minorHAnsi" w:cs="Calibri"/>
                <w:sz w:val="20"/>
                <w:szCs w:val="20"/>
                <w:lang w:val="bs-Latn-BA"/>
              </w:rPr>
              <w:t>27.</w:t>
            </w:r>
          </w:p>
        </w:tc>
        <w:tc>
          <w:tcPr>
            <w:cnfStyle w:val="000010000000" w:firstRow="0" w:lastRow="0" w:firstColumn="0" w:lastColumn="0" w:oddVBand="1" w:evenVBand="0" w:oddHBand="0" w:evenHBand="0" w:firstRowFirstColumn="0" w:firstRowLastColumn="0" w:lastRowFirstColumn="0" w:lastRowLastColumn="0"/>
            <w:tcW w:w="2403" w:type="dxa"/>
          </w:tcPr>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lang w:val="sr-Cyrl-BA"/>
              </w:rPr>
              <w:t xml:space="preserve">ODS "Elektro-Bijeljina" </w:t>
            </w:r>
          </w:p>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lang w:val="sr-Cyrl-BA"/>
              </w:rPr>
              <w:t>a.d. Bijeljina</w:t>
            </w:r>
          </w:p>
        </w:tc>
        <w:tc>
          <w:tcPr>
            <w:tcW w:w="2041" w:type="dxa"/>
          </w:tcPr>
          <w:p w:rsidR="005A1B74" w:rsidRPr="008144B0" w:rsidRDefault="005A1B74" w:rsidP="002D1E7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Distribucija električne energije i upravljanje distributivnim sistemom električne energije</w:t>
            </w:r>
          </w:p>
        </w:tc>
        <w:tc>
          <w:tcPr>
            <w:cnfStyle w:val="000010000000" w:firstRow="0" w:lastRow="0" w:firstColumn="0" w:lastColumn="0" w:oddVBand="1" w:evenVBand="0" w:oddHBand="0" w:evenHBand="0" w:firstRowFirstColumn="0" w:firstRowLastColumn="0" w:lastRowFirstColumn="0" w:lastRowLastColumn="0"/>
            <w:tcW w:w="2127" w:type="dxa"/>
          </w:tcPr>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lang w:val="sr-Cyrl-BA"/>
              </w:rPr>
              <w:t>Dozvola izdata na period važenja od deset  godina, počev od 28.12.2024. godine</w:t>
            </w:r>
          </w:p>
        </w:tc>
        <w:tc>
          <w:tcPr>
            <w:cnfStyle w:val="000100000000" w:firstRow="0" w:lastRow="0" w:firstColumn="0" w:lastColumn="1" w:oddVBand="0" w:evenVBand="0" w:oddHBand="0" w:evenHBand="0" w:firstRowFirstColumn="0" w:firstRowLastColumn="0" w:lastRowFirstColumn="0" w:lastRowLastColumn="0"/>
            <w:tcW w:w="2552" w:type="dxa"/>
          </w:tcPr>
          <w:p w:rsidR="005A1B74" w:rsidRPr="00621793" w:rsidRDefault="005A1B74" w:rsidP="002D1E7C">
            <w:pPr>
              <w:ind w:left="-93" w:right="-106" w:firstLine="9"/>
              <w:jc w:val="center"/>
              <w:rPr>
                <w:rFonts w:asciiTheme="minorHAnsi" w:hAnsiTheme="minorHAnsi"/>
                <w:b w:val="0"/>
                <w:sz w:val="18"/>
                <w:szCs w:val="18"/>
                <w:lang w:val="sr-Cyrl-BA"/>
              </w:rPr>
            </w:pPr>
            <w:r w:rsidRPr="00621793">
              <w:rPr>
                <w:rFonts w:asciiTheme="minorHAnsi" w:hAnsiTheme="minorHAnsi"/>
                <w:b w:val="0"/>
                <w:sz w:val="18"/>
                <w:szCs w:val="18"/>
                <w:lang w:val="sr-Cyrl-BA"/>
              </w:rPr>
              <w:t>Produženje dozvole</w:t>
            </w:r>
          </w:p>
        </w:tc>
      </w:tr>
      <w:tr w:rsidR="005A1B74" w:rsidRPr="008144B0" w:rsidTr="00621793">
        <w:trPr>
          <w:trHeight w:val="807"/>
        </w:trPr>
        <w:tc>
          <w:tcPr>
            <w:cnfStyle w:val="001000000000" w:firstRow="0" w:lastRow="0" w:firstColumn="1" w:lastColumn="0" w:oddVBand="0" w:evenVBand="0" w:oddHBand="0" w:evenHBand="0" w:firstRowFirstColumn="0" w:firstRowLastColumn="0" w:lastRowFirstColumn="0" w:lastRowLastColumn="0"/>
            <w:tcW w:w="659" w:type="dxa"/>
          </w:tcPr>
          <w:p w:rsidR="005A1B74" w:rsidRPr="008144B0" w:rsidRDefault="005A1B74" w:rsidP="002D1E7C">
            <w:pPr>
              <w:jc w:val="center"/>
              <w:rPr>
                <w:rFonts w:asciiTheme="minorHAnsi" w:hAnsiTheme="minorHAnsi" w:cs="Calibri"/>
                <w:sz w:val="20"/>
                <w:szCs w:val="20"/>
                <w:lang w:val="bs-Latn-BA"/>
              </w:rPr>
            </w:pPr>
            <w:r w:rsidRPr="008144B0">
              <w:rPr>
                <w:rFonts w:asciiTheme="minorHAnsi" w:hAnsiTheme="minorHAnsi" w:cs="Calibri"/>
                <w:sz w:val="20"/>
                <w:szCs w:val="20"/>
                <w:lang w:val="bs-Latn-BA"/>
              </w:rPr>
              <w:t>28.</w:t>
            </w:r>
          </w:p>
        </w:tc>
        <w:tc>
          <w:tcPr>
            <w:cnfStyle w:val="000010000000" w:firstRow="0" w:lastRow="0" w:firstColumn="0" w:lastColumn="0" w:oddVBand="1" w:evenVBand="0" w:oddHBand="0" w:evenHBand="0" w:firstRowFirstColumn="0" w:firstRowLastColumn="0" w:lastRowFirstColumn="0" w:lastRowLastColumn="0"/>
            <w:tcW w:w="2403" w:type="dxa"/>
          </w:tcPr>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lang w:val="sr-Cyrl-BA"/>
              </w:rPr>
              <w:t xml:space="preserve">ODS "Elektro Doboj" </w:t>
            </w:r>
          </w:p>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lang w:val="sr-Cyrl-BA"/>
              </w:rPr>
              <w:t>a.d. Doboj</w:t>
            </w:r>
          </w:p>
        </w:tc>
        <w:tc>
          <w:tcPr>
            <w:tcW w:w="2041" w:type="dxa"/>
          </w:tcPr>
          <w:p w:rsidR="005A1B74" w:rsidRPr="008144B0" w:rsidRDefault="005A1B74" w:rsidP="002D1E7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Distribucija električne energije i upravljanje distributivnim sistemom električne energije</w:t>
            </w:r>
          </w:p>
        </w:tc>
        <w:tc>
          <w:tcPr>
            <w:cnfStyle w:val="000010000000" w:firstRow="0" w:lastRow="0" w:firstColumn="0" w:lastColumn="0" w:oddVBand="1" w:evenVBand="0" w:oddHBand="0" w:evenHBand="0" w:firstRowFirstColumn="0" w:firstRowLastColumn="0" w:lastRowFirstColumn="0" w:lastRowLastColumn="0"/>
            <w:tcW w:w="2127" w:type="dxa"/>
          </w:tcPr>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lang w:val="sr-Cyrl-BA"/>
              </w:rPr>
              <w:t>Dozvola izdata na period važenja od deset  godina, počev od 28.12.2024. godine</w:t>
            </w:r>
          </w:p>
        </w:tc>
        <w:tc>
          <w:tcPr>
            <w:cnfStyle w:val="000100000000" w:firstRow="0" w:lastRow="0" w:firstColumn="0" w:lastColumn="1" w:oddVBand="0" w:evenVBand="0" w:oddHBand="0" w:evenHBand="0" w:firstRowFirstColumn="0" w:firstRowLastColumn="0" w:lastRowFirstColumn="0" w:lastRowLastColumn="0"/>
            <w:tcW w:w="2552" w:type="dxa"/>
          </w:tcPr>
          <w:p w:rsidR="005A1B74" w:rsidRPr="00621793" w:rsidRDefault="005A1B74" w:rsidP="002D1E7C">
            <w:pPr>
              <w:ind w:left="-93" w:right="-106" w:firstLine="9"/>
              <w:jc w:val="center"/>
              <w:rPr>
                <w:rFonts w:asciiTheme="minorHAnsi" w:hAnsiTheme="minorHAnsi"/>
                <w:b w:val="0"/>
                <w:sz w:val="18"/>
                <w:szCs w:val="18"/>
                <w:lang w:val="sr-Cyrl-BA"/>
              </w:rPr>
            </w:pPr>
            <w:r w:rsidRPr="00621793">
              <w:rPr>
                <w:rFonts w:asciiTheme="minorHAnsi" w:hAnsiTheme="minorHAnsi"/>
                <w:b w:val="0"/>
                <w:sz w:val="18"/>
                <w:szCs w:val="18"/>
                <w:lang w:val="sr-Cyrl-BA"/>
              </w:rPr>
              <w:t>Produženje dozvole</w:t>
            </w:r>
          </w:p>
        </w:tc>
      </w:tr>
      <w:tr w:rsidR="005A1B74" w:rsidRPr="008144B0" w:rsidTr="00621793">
        <w:trPr>
          <w:cnfStyle w:val="000000100000" w:firstRow="0" w:lastRow="0" w:firstColumn="0" w:lastColumn="0" w:oddVBand="0" w:evenVBand="0" w:oddHBand="1" w:evenHBand="0" w:firstRowFirstColumn="0" w:firstRowLastColumn="0" w:lastRowFirstColumn="0" w:lastRowLastColumn="0"/>
          <w:trHeight w:val="807"/>
        </w:trPr>
        <w:tc>
          <w:tcPr>
            <w:cnfStyle w:val="001000000000" w:firstRow="0" w:lastRow="0" w:firstColumn="1" w:lastColumn="0" w:oddVBand="0" w:evenVBand="0" w:oddHBand="0" w:evenHBand="0" w:firstRowFirstColumn="0" w:firstRowLastColumn="0" w:lastRowFirstColumn="0" w:lastRowLastColumn="0"/>
            <w:tcW w:w="659" w:type="dxa"/>
          </w:tcPr>
          <w:p w:rsidR="005A1B74" w:rsidRPr="008144B0" w:rsidRDefault="005A1B74" w:rsidP="002D1E7C">
            <w:pPr>
              <w:jc w:val="center"/>
              <w:rPr>
                <w:rFonts w:asciiTheme="minorHAnsi" w:hAnsiTheme="minorHAnsi" w:cs="Calibri"/>
                <w:sz w:val="20"/>
                <w:szCs w:val="20"/>
                <w:lang w:val="bs-Latn-BA"/>
              </w:rPr>
            </w:pPr>
            <w:r w:rsidRPr="008144B0">
              <w:rPr>
                <w:rFonts w:asciiTheme="minorHAnsi" w:hAnsiTheme="minorHAnsi" w:cs="Calibri"/>
                <w:sz w:val="20"/>
                <w:szCs w:val="20"/>
                <w:lang w:val="bs-Latn-BA"/>
              </w:rPr>
              <w:t>29.</w:t>
            </w:r>
          </w:p>
        </w:tc>
        <w:tc>
          <w:tcPr>
            <w:cnfStyle w:val="000010000000" w:firstRow="0" w:lastRow="0" w:firstColumn="0" w:lastColumn="0" w:oddVBand="1" w:evenVBand="0" w:oddHBand="0" w:evenHBand="0" w:firstRowFirstColumn="0" w:firstRowLastColumn="0" w:lastRowFirstColumn="0" w:lastRowLastColumn="0"/>
            <w:tcW w:w="2403" w:type="dxa"/>
          </w:tcPr>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lang w:val="sr-Cyrl-BA"/>
              </w:rPr>
              <w:t xml:space="preserve">ODS "Elektrodistribucija" </w:t>
            </w:r>
          </w:p>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lang w:val="sr-Cyrl-BA"/>
              </w:rPr>
              <w:t>a.d. Pale</w:t>
            </w:r>
          </w:p>
        </w:tc>
        <w:tc>
          <w:tcPr>
            <w:tcW w:w="2041" w:type="dxa"/>
          </w:tcPr>
          <w:p w:rsidR="005A1B74" w:rsidRPr="008144B0" w:rsidRDefault="005A1B74" w:rsidP="002D1E7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Distribucija električne energije i upravljanje distributivnim sistemom električne energije</w:t>
            </w:r>
          </w:p>
        </w:tc>
        <w:tc>
          <w:tcPr>
            <w:cnfStyle w:val="000010000000" w:firstRow="0" w:lastRow="0" w:firstColumn="0" w:lastColumn="0" w:oddVBand="1" w:evenVBand="0" w:oddHBand="0" w:evenHBand="0" w:firstRowFirstColumn="0" w:firstRowLastColumn="0" w:lastRowFirstColumn="0" w:lastRowLastColumn="0"/>
            <w:tcW w:w="2127" w:type="dxa"/>
          </w:tcPr>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lang w:val="sr-Cyrl-BA"/>
              </w:rPr>
              <w:t xml:space="preserve">Dozvola izdata na period važenja od deset  godina, počev od 28.12.2024. godine   </w:t>
            </w:r>
          </w:p>
        </w:tc>
        <w:tc>
          <w:tcPr>
            <w:cnfStyle w:val="000100000000" w:firstRow="0" w:lastRow="0" w:firstColumn="0" w:lastColumn="1" w:oddVBand="0" w:evenVBand="0" w:oddHBand="0" w:evenHBand="0" w:firstRowFirstColumn="0" w:firstRowLastColumn="0" w:lastRowFirstColumn="0" w:lastRowLastColumn="0"/>
            <w:tcW w:w="2552" w:type="dxa"/>
          </w:tcPr>
          <w:p w:rsidR="005A1B74" w:rsidRPr="00621793" w:rsidRDefault="005A1B74" w:rsidP="002D1E7C">
            <w:pPr>
              <w:ind w:left="-93" w:right="-106" w:firstLine="9"/>
              <w:jc w:val="center"/>
              <w:rPr>
                <w:rFonts w:asciiTheme="minorHAnsi" w:hAnsiTheme="minorHAnsi"/>
                <w:b w:val="0"/>
                <w:sz w:val="18"/>
                <w:szCs w:val="18"/>
                <w:lang w:val="sr-Cyrl-BA"/>
              </w:rPr>
            </w:pPr>
            <w:r w:rsidRPr="00621793">
              <w:rPr>
                <w:rFonts w:asciiTheme="minorHAnsi" w:hAnsiTheme="minorHAnsi"/>
                <w:b w:val="0"/>
                <w:sz w:val="18"/>
                <w:szCs w:val="18"/>
                <w:lang w:val="sr-Cyrl-BA"/>
              </w:rPr>
              <w:t>Produženje dozvole</w:t>
            </w:r>
          </w:p>
        </w:tc>
      </w:tr>
      <w:tr w:rsidR="005A1B74" w:rsidRPr="008144B0" w:rsidTr="00621793">
        <w:trPr>
          <w:trHeight w:val="807"/>
        </w:trPr>
        <w:tc>
          <w:tcPr>
            <w:cnfStyle w:val="001000000000" w:firstRow="0" w:lastRow="0" w:firstColumn="1" w:lastColumn="0" w:oddVBand="0" w:evenVBand="0" w:oddHBand="0" w:evenHBand="0" w:firstRowFirstColumn="0" w:firstRowLastColumn="0" w:lastRowFirstColumn="0" w:lastRowLastColumn="0"/>
            <w:tcW w:w="659" w:type="dxa"/>
          </w:tcPr>
          <w:p w:rsidR="005A1B74" w:rsidRPr="008144B0" w:rsidRDefault="005A1B74" w:rsidP="002D1E7C">
            <w:pPr>
              <w:jc w:val="center"/>
              <w:rPr>
                <w:rFonts w:asciiTheme="minorHAnsi" w:hAnsiTheme="minorHAnsi" w:cs="Calibri"/>
                <w:sz w:val="20"/>
                <w:szCs w:val="20"/>
                <w:lang w:val="bs-Latn-BA"/>
              </w:rPr>
            </w:pPr>
            <w:r w:rsidRPr="008144B0">
              <w:rPr>
                <w:rFonts w:asciiTheme="minorHAnsi" w:hAnsiTheme="minorHAnsi" w:cs="Calibri"/>
                <w:sz w:val="20"/>
                <w:szCs w:val="20"/>
                <w:lang w:val="bs-Latn-BA"/>
              </w:rPr>
              <w:t>30.</w:t>
            </w:r>
          </w:p>
        </w:tc>
        <w:tc>
          <w:tcPr>
            <w:cnfStyle w:val="000010000000" w:firstRow="0" w:lastRow="0" w:firstColumn="0" w:lastColumn="0" w:oddVBand="1" w:evenVBand="0" w:oddHBand="0" w:evenHBand="0" w:firstRowFirstColumn="0" w:firstRowLastColumn="0" w:lastRowFirstColumn="0" w:lastRowLastColumn="0"/>
            <w:tcW w:w="2403" w:type="dxa"/>
          </w:tcPr>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lang w:val="sr-Cyrl-BA"/>
              </w:rPr>
              <w:t>ODS "Elektro-Hercegovina"</w:t>
            </w:r>
          </w:p>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lang w:val="sr-Cyrl-BA"/>
              </w:rPr>
              <w:t>a.d. Trebinje</w:t>
            </w:r>
            <w:r w:rsidRPr="008144B0" w:rsidDel="00663AC6">
              <w:rPr>
                <w:rFonts w:asciiTheme="minorHAnsi" w:hAnsiTheme="minorHAnsi"/>
                <w:sz w:val="20"/>
                <w:szCs w:val="20"/>
                <w:lang w:val="sr-Cyrl-BA"/>
              </w:rPr>
              <w:t xml:space="preserve"> </w:t>
            </w:r>
          </w:p>
        </w:tc>
        <w:tc>
          <w:tcPr>
            <w:tcW w:w="2041" w:type="dxa"/>
          </w:tcPr>
          <w:p w:rsidR="005A1B74" w:rsidRPr="008144B0" w:rsidRDefault="005A1B74" w:rsidP="002D1E7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Distribucija električne energije i upravljanje distributivnim sistemom električne energije</w:t>
            </w:r>
            <w:r w:rsidRPr="008144B0" w:rsidDel="00663AC6">
              <w:rPr>
                <w:rFonts w:asciiTheme="minorHAnsi" w:hAnsiTheme="minorHAnsi"/>
                <w:sz w:val="20"/>
                <w:szCs w:val="20"/>
                <w:lang w:val="sr-Cyrl-BA"/>
              </w:rPr>
              <w:t xml:space="preserve"> </w:t>
            </w:r>
          </w:p>
        </w:tc>
        <w:tc>
          <w:tcPr>
            <w:cnfStyle w:val="000010000000" w:firstRow="0" w:lastRow="0" w:firstColumn="0" w:lastColumn="0" w:oddVBand="1" w:evenVBand="0" w:oddHBand="0" w:evenHBand="0" w:firstRowFirstColumn="0" w:firstRowLastColumn="0" w:lastRowFirstColumn="0" w:lastRowLastColumn="0"/>
            <w:tcW w:w="2127" w:type="dxa"/>
          </w:tcPr>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lang w:val="sr-Cyrl-BA"/>
              </w:rPr>
              <w:t>Dozvola izdata na period važenja od deset  godina, počev od 28.12.2024. godine</w:t>
            </w:r>
            <w:r w:rsidRPr="008144B0" w:rsidDel="00663AC6">
              <w:rPr>
                <w:rFonts w:asciiTheme="minorHAnsi" w:hAnsiTheme="minorHAnsi"/>
                <w:sz w:val="20"/>
                <w:szCs w:val="20"/>
                <w:lang w:val="sr-Cyrl-BA"/>
              </w:rPr>
              <w:t xml:space="preserve"> </w:t>
            </w:r>
          </w:p>
        </w:tc>
        <w:tc>
          <w:tcPr>
            <w:cnfStyle w:val="000100000000" w:firstRow="0" w:lastRow="0" w:firstColumn="0" w:lastColumn="1" w:oddVBand="0" w:evenVBand="0" w:oddHBand="0" w:evenHBand="0" w:firstRowFirstColumn="0" w:firstRowLastColumn="0" w:lastRowFirstColumn="0" w:lastRowLastColumn="0"/>
            <w:tcW w:w="2552" w:type="dxa"/>
          </w:tcPr>
          <w:p w:rsidR="005A1B74" w:rsidRPr="00621793" w:rsidRDefault="005A1B74" w:rsidP="002D1E7C">
            <w:pPr>
              <w:ind w:left="-93" w:right="-106" w:firstLine="9"/>
              <w:jc w:val="center"/>
              <w:rPr>
                <w:rFonts w:asciiTheme="minorHAnsi" w:hAnsiTheme="minorHAnsi"/>
                <w:b w:val="0"/>
                <w:sz w:val="18"/>
                <w:szCs w:val="18"/>
                <w:lang w:val="sr-Cyrl-BA"/>
              </w:rPr>
            </w:pPr>
            <w:r w:rsidRPr="00621793">
              <w:rPr>
                <w:rFonts w:asciiTheme="minorHAnsi" w:hAnsiTheme="minorHAnsi"/>
                <w:b w:val="0"/>
                <w:sz w:val="18"/>
                <w:szCs w:val="18"/>
                <w:lang w:val="sr-Cyrl-BA"/>
              </w:rPr>
              <w:t>Produženje dozvole</w:t>
            </w:r>
          </w:p>
        </w:tc>
      </w:tr>
      <w:tr w:rsidR="005A1B74" w:rsidRPr="008144B0" w:rsidTr="00621793">
        <w:trPr>
          <w:cnfStyle w:val="000000100000" w:firstRow="0" w:lastRow="0" w:firstColumn="0" w:lastColumn="0" w:oddVBand="0" w:evenVBand="0" w:oddHBand="1" w:evenHBand="0" w:firstRowFirstColumn="0" w:firstRowLastColumn="0" w:lastRowFirstColumn="0" w:lastRowLastColumn="0"/>
          <w:trHeight w:val="807"/>
        </w:trPr>
        <w:tc>
          <w:tcPr>
            <w:cnfStyle w:val="001000000000" w:firstRow="0" w:lastRow="0" w:firstColumn="1" w:lastColumn="0" w:oddVBand="0" w:evenVBand="0" w:oddHBand="0" w:evenHBand="0" w:firstRowFirstColumn="0" w:firstRowLastColumn="0" w:lastRowFirstColumn="0" w:lastRowLastColumn="0"/>
            <w:tcW w:w="659" w:type="dxa"/>
          </w:tcPr>
          <w:p w:rsidR="005A1B74" w:rsidRPr="008144B0" w:rsidRDefault="005A1B74" w:rsidP="002D1E7C">
            <w:pPr>
              <w:jc w:val="center"/>
              <w:rPr>
                <w:rFonts w:asciiTheme="minorHAnsi" w:hAnsiTheme="minorHAnsi" w:cs="Calibri"/>
                <w:sz w:val="20"/>
                <w:szCs w:val="20"/>
                <w:lang w:val="sr-Cyrl-BA"/>
              </w:rPr>
            </w:pPr>
            <w:r w:rsidRPr="008144B0">
              <w:rPr>
                <w:rFonts w:asciiTheme="minorHAnsi" w:hAnsiTheme="minorHAnsi" w:cs="Calibri"/>
                <w:sz w:val="20"/>
                <w:szCs w:val="20"/>
                <w:lang w:val="sr-Cyrl-BA"/>
              </w:rPr>
              <w:t>31.</w:t>
            </w:r>
          </w:p>
        </w:tc>
        <w:tc>
          <w:tcPr>
            <w:cnfStyle w:val="000010000000" w:firstRow="0" w:lastRow="0" w:firstColumn="0" w:lastColumn="0" w:oddVBand="1" w:evenVBand="0" w:oddHBand="0" w:evenHBand="0" w:firstRowFirstColumn="0" w:firstRowLastColumn="0" w:lastRowFirstColumn="0" w:lastRowLastColumn="0"/>
            <w:tcW w:w="2403" w:type="dxa"/>
          </w:tcPr>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lang w:val="sr-Cyrl-BA"/>
              </w:rPr>
              <w:t>„</w:t>
            </w:r>
            <w:r w:rsidRPr="008144B0">
              <w:rPr>
                <w:rFonts w:asciiTheme="minorHAnsi" w:hAnsiTheme="minorHAnsi"/>
                <w:sz w:val="20"/>
                <w:szCs w:val="20"/>
                <w:lang w:val="bs-Latn-BA"/>
              </w:rPr>
              <w:t>WASSERKRAFT</w:t>
            </w:r>
            <w:r w:rsidRPr="008144B0">
              <w:rPr>
                <w:rFonts w:asciiTheme="minorHAnsi" w:hAnsiTheme="minorHAnsi"/>
                <w:sz w:val="20"/>
                <w:szCs w:val="20"/>
                <w:lang w:val="sr-Cyrl-BA"/>
              </w:rPr>
              <w:t>” d.o.o.  Banja Luka</w:t>
            </w:r>
          </w:p>
        </w:tc>
        <w:tc>
          <w:tcPr>
            <w:tcW w:w="2041" w:type="dxa"/>
          </w:tcPr>
          <w:p w:rsidR="005A1B74" w:rsidRPr="008144B0" w:rsidRDefault="005A1B74" w:rsidP="002D1E7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lang w:val="sr-Cyrl-BA"/>
              </w:rPr>
            </w:pPr>
            <w:r w:rsidRPr="008144B0">
              <w:rPr>
                <w:rFonts w:asciiTheme="minorHAnsi" w:hAnsiTheme="minorHAnsi"/>
                <w:sz w:val="20"/>
                <w:szCs w:val="20"/>
                <w:lang w:val="sr-Cyrl-BA"/>
              </w:rPr>
              <w:t xml:space="preserve">snabdijevanje i trgovina električnom energijom </w:t>
            </w:r>
          </w:p>
        </w:tc>
        <w:tc>
          <w:tcPr>
            <w:cnfStyle w:val="000010000000" w:firstRow="0" w:lastRow="0" w:firstColumn="0" w:lastColumn="0" w:oddVBand="1" w:evenVBand="0" w:oddHBand="0" w:evenHBand="0" w:firstRowFirstColumn="0" w:firstRowLastColumn="0" w:lastRowFirstColumn="0" w:lastRowLastColumn="0"/>
            <w:tcW w:w="2127" w:type="dxa"/>
          </w:tcPr>
          <w:p w:rsidR="005A1B74" w:rsidRPr="008144B0" w:rsidRDefault="005A1B74" w:rsidP="002D1E7C">
            <w:pPr>
              <w:jc w:val="center"/>
              <w:rPr>
                <w:rFonts w:asciiTheme="minorHAnsi" w:hAnsiTheme="minorHAnsi"/>
                <w:sz w:val="20"/>
                <w:szCs w:val="20"/>
                <w:lang w:val="sr-Cyrl-BA"/>
              </w:rPr>
            </w:pPr>
            <w:r w:rsidRPr="008144B0">
              <w:rPr>
                <w:rFonts w:asciiTheme="minorHAnsi" w:hAnsiTheme="minorHAnsi"/>
                <w:sz w:val="20"/>
                <w:szCs w:val="20"/>
                <w:lang w:val="sr-Cyrl-BA"/>
              </w:rPr>
              <w:t>Dozvola izdata 2</w:t>
            </w:r>
            <w:r w:rsidRPr="008144B0">
              <w:rPr>
                <w:rFonts w:asciiTheme="minorHAnsi" w:hAnsiTheme="minorHAnsi"/>
                <w:sz w:val="20"/>
                <w:szCs w:val="20"/>
                <w:lang w:val="bs-Latn-BA"/>
              </w:rPr>
              <w:t>9</w:t>
            </w:r>
            <w:r w:rsidRPr="008144B0">
              <w:rPr>
                <w:rFonts w:asciiTheme="minorHAnsi" w:hAnsiTheme="minorHAnsi"/>
                <w:sz w:val="20"/>
                <w:szCs w:val="20"/>
                <w:lang w:val="sr-Cyrl-BA"/>
              </w:rPr>
              <w:t>.0</w:t>
            </w:r>
            <w:r w:rsidRPr="008144B0">
              <w:rPr>
                <w:rFonts w:asciiTheme="minorHAnsi" w:hAnsiTheme="minorHAnsi"/>
                <w:sz w:val="20"/>
                <w:szCs w:val="20"/>
                <w:lang w:val="bs-Latn-BA"/>
              </w:rPr>
              <w:t>3</w:t>
            </w:r>
            <w:r w:rsidRPr="008144B0">
              <w:rPr>
                <w:rFonts w:asciiTheme="minorHAnsi" w:hAnsiTheme="minorHAnsi"/>
                <w:sz w:val="20"/>
                <w:szCs w:val="20"/>
                <w:lang w:val="sr-Cyrl-BA"/>
              </w:rPr>
              <w:t>.2024. na period od dvije godine</w:t>
            </w:r>
          </w:p>
        </w:tc>
        <w:tc>
          <w:tcPr>
            <w:cnfStyle w:val="000100000000" w:firstRow="0" w:lastRow="0" w:firstColumn="0" w:lastColumn="1" w:oddVBand="0" w:evenVBand="0" w:oddHBand="0" w:evenHBand="0" w:firstRowFirstColumn="0" w:firstRowLastColumn="0" w:lastRowFirstColumn="0" w:lastRowLastColumn="0"/>
            <w:tcW w:w="2552" w:type="dxa"/>
          </w:tcPr>
          <w:p w:rsidR="005A1B74" w:rsidRPr="00621793" w:rsidRDefault="005A1B74" w:rsidP="002D1E7C">
            <w:pPr>
              <w:jc w:val="center"/>
              <w:rPr>
                <w:rFonts w:asciiTheme="minorHAnsi" w:hAnsiTheme="minorHAnsi"/>
                <w:b w:val="0"/>
                <w:sz w:val="18"/>
                <w:szCs w:val="18"/>
                <w:lang w:val="sr-Cyrl-BA"/>
              </w:rPr>
            </w:pPr>
            <w:r w:rsidRPr="00621793">
              <w:rPr>
                <w:rFonts w:asciiTheme="minorHAnsi" w:hAnsiTheme="minorHAnsi"/>
                <w:b w:val="0"/>
                <w:sz w:val="18"/>
                <w:szCs w:val="18"/>
                <w:lang w:val="sr-Cyrl-BA"/>
              </w:rPr>
              <w:t>Produženje dozvole</w:t>
            </w:r>
          </w:p>
        </w:tc>
      </w:tr>
      <w:tr w:rsidR="005A1B74" w:rsidRPr="008144B0" w:rsidTr="00621793">
        <w:trPr>
          <w:trHeight w:val="807"/>
        </w:trPr>
        <w:tc>
          <w:tcPr>
            <w:cnfStyle w:val="001000000000" w:firstRow="0" w:lastRow="0" w:firstColumn="1" w:lastColumn="0" w:oddVBand="0" w:evenVBand="0" w:oddHBand="0" w:evenHBand="0" w:firstRowFirstColumn="0" w:firstRowLastColumn="0" w:lastRowFirstColumn="0" w:lastRowLastColumn="0"/>
            <w:tcW w:w="659" w:type="dxa"/>
          </w:tcPr>
          <w:p w:rsidR="005A1B74" w:rsidRPr="008144B0" w:rsidRDefault="005A1B74" w:rsidP="002D1E7C">
            <w:pPr>
              <w:jc w:val="center"/>
              <w:rPr>
                <w:rFonts w:asciiTheme="minorHAnsi" w:hAnsiTheme="minorHAnsi" w:cs="Calibri"/>
                <w:color w:val="auto"/>
                <w:sz w:val="20"/>
                <w:szCs w:val="20"/>
                <w:lang w:val="sr-Cyrl-BA"/>
              </w:rPr>
            </w:pPr>
            <w:r w:rsidRPr="008144B0">
              <w:rPr>
                <w:rFonts w:asciiTheme="minorHAnsi" w:hAnsiTheme="minorHAnsi" w:cs="Calibri"/>
                <w:sz w:val="20"/>
                <w:szCs w:val="20"/>
                <w:lang w:val="sr-Cyrl-BA"/>
              </w:rPr>
              <w:lastRenderedPageBreak/>
              <w:t>32.</w:t>
            </w:r>
          </w:p>
        </w:tc>
        <w:tc>
          <w:tcPr>
            <w:cnfStyle w:val="000010000000" w:firstRow="0" w:lastRow="0" w:firstColumn="0" w:lastColumn="0" w:oddVBand="1" w:evenVBand="0" w:oddHBand="0" w:evenHBand="0" w:firstRowFirstColumn="0" w:firstRowLastColumn="0" w:lastRowFirstColumn="0" w:lastRowLastColumn="0"/>
            <w:tcW w:w="2403" w:type="dxa"/>
          </w:tcPr>
          <w:p w:rsidR="005A1B74" w:rsidRPr="008144B0" w:rsidRDefault="005A1B74" w:rsidP="002D1E7C">
            <w:pPr>
              <w:jc w:val="center"/>
              <w:rPr>
                <w:rFonts w:asciiTheme="minorHAnsi" w:hAnsiTheme="minorHAnsi"/>
                <w:color w:val="auto"/>
                <w:sz w:val="20"/>
                <w:szCs w:val="20"/>
                <w:lang w:val="sr-Cyrl-BA"/>
              </w:rPr>
            </w:pPr>
            <w:r w:rsidRPr="008144B0">
              <w:rPr>
                <w:rFonts w:asciiTheme="minorHAnsi" w:hAnsiTheme="minorHAnsi"/>
                <w:sz w:val="20"/>
                <w:szCs w:val="20"/>
                <w:lang w:val="sr-Cyrl-BA"/>
              </w:rPr>
              <w:t>„</w:t>
            </w:r>
            <w:r w:rsidRPr="008144B0">
              <w:rPr>
                <w:rFonts w:asciiTheme="minorHAnsi" w:hAnsiTheme="minorHAnsi"/>
                <w:sz w:val="20"/>
                <w:szCs w:val="20"/>
                <w:lang w:val="bs-Latn-BA"/>
              </w:rPr>
              <w:t>MET ENERGY BH</w:t>
            </w:r>
            <w:r w:rsidRPr="008144B0">
              <w:rPr>
                <w:rFonts w:asciiTheme="minorHAnsi" w:hAnsiTheme="minorHAnsi"/>
                <w:sz w:val="20"/>
                <w:szCs w:val="20"/>
                <w:lang w:val="sr-Cyrl-BA"/>
              </w:rPr>
              <w:t>” d.o.o.</w:t>
            </w:r>
          </w:p>
        </w:tc>
        <w:tc>
          <w:tcPr>
            <w:tcW w:w="2041" w:type="dxa"/>
          </w:tcPr>
          <w:p w:rsidR="005A1B74" w:rsidRPr="008144B0" w:rsidRDefault="005A1B74" w:rsidP="002D1E7C">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olor w:val="auto"/>
                <w:sz w:val="20"/>
                <w:szCs w:val="20"/>
                <w:lang w:val="sr-Cyrl-BA"/>
              </w:rPr>
            </w:pPr>
            <w:r w:rsidRPr="008144B0">
              <w:rPr>
                <w:rFonts w:asciiTheme="minorHAnsi" w:hAnsiTheme="minorHAnsi"/>
                <w:sz w:val="20"/>
                <w:szCs w:val="20"/>
                <w:lang w:val="sr-Cyrl-BA"/>
              </w:rPr>
              <w:t xml:space="preserve">snabdijevanje i trgovina električnom energijom </w:t>
            </w:r>
          </w:p>
        </w:tc>
        <w:tc>
          <w:tcPr>
            <w:cnfStyle w:val="000010000000" w:firstRow="0" w:lastRow="0" w:firstColumn="0" w:lastColumn="0" w:oddVBand="1" w:evenVBand="0" w:oddHBand="0" w:evenHBand="0" w:firstRowFirstColumn="0" w:firstRowLastColumn="0" w:lastRowFirstColumn="0" w:lastRowLastColumn="0"/>
            <w:tcW w:w="2127" w:type="dxa"/>
          </w:tcPr>
          <w:p w:rsidR="005A1B74" w:rsidRPr="008144B0" w:rsidRDefault="005A1B74" w:rsidP="002D1E7C">
            <w:pPr>
              <w:jc w:val="center"/>
              <w:rPr>
                <w:rFonts w:asciiTheme="minorHAnsi" w:hAnsiTheme="minorHAnsi"/>
                <w:color w:val="auto"/>
                <w:sz w:val="20"/>
                <w:szCs w:val="20"/>
                <w:lang w:val="sr-Cyrl-BA"/>
              </w:rPr>
            </w:pPr>
            <w:r w:rsidRPr="008144B0">
              <w:rPr>
                <w:rFonts w:asciiTheme="minorHAnsi" w:hAnsiTheme="minorHAnsi"/>
                <w:sz w:val="20"/>
                <w:szCs w:val="20"/>
                <w:lang w:val="sr-Cyrl-BA"/>
              </w:rPr>
              <w:t xml:space="preserve">Dozvola izdata </w:t>
            </w:r>
            <w:r w:rsidRPr="008144B0">
              <w:rPr>
                <w:rFonts w:asciiTheme="minorHAnsi" w:hAnsiTheme="minorHAnsi"/>
                <w:sz w:val="20"/>
                <w:szCs w:val="20"/>
                <w:lang w:val="bs-Latn-BA"/>
              </w:rPr>
              <w:t>08</w:t>
            </w:r>
            <w:r w:rsidRPr="008144B0">
              <w:rPr>
                <w:rFonts w:asciiTheme="minorHAnsi" w:hAnsiTheme="minorHAnsi"/>
                <w:sz w:val="20"/>
                <w:szCs w:val="20"/>
                <w:lang w:val="sr-Cyrl-BA"/>
              </w:rPr>
              <w:t>.</w:t>
            </w:r>
            <w:r w:rsidRPr="008144B0">
              <w:rPr>
                <w:rFonts w:asciiTheme="minorHAnsi" w:hAnsiTheme="minorHAnsi"/>
                <w:sz w:val="20"/>
                <w:szCs w:val="20"/>
                <w:lang w:val="bs-Latn-BA"/>
              </w:rPr>
              <w:t>10</w:t>
            </w:r>
            <w:r w:rsidRPr="008144B0">
              <w:rPr>
                <w:rFonts w:asciiTheme="minorHAnsi" w:hAnsiTheme="minorHAnsi"/>
                <w:sz w:val="20"/>
                <w:szCs w:val="20"/>
                <w:lang w:val="sr-Cyrl-BA"/>
              </w:rPr>
              <w:t>.2024. na period od dvije godine</w:t>
            </w:r>
          </w:p>
        </w:tc>
        <w:tc>
          <w:tcPr>
            <w:cnfStyle w:val="000100000000" w:firstRow="0" w:lastRow="0" w:firstColumn="0" w:lastColumn="1" w:oddVBand="0" w:evenVBand="0" w:oddHBand="0" w:evenHBand="0" w:firstRowFirstColumn="0" w:firstRowLastColumn="0" w:lastRowFirstColumn="0" w:lastRowLastColumn="0"/>
            <w:tcW w:w="2552" w:type="dxa"/>
          </w:tcPr>
          <w:p w:rsidR="005A1B74" w:rsidRPr="00621793" w:rsidRDefault="005A1B74" w:rsidP="002D1E7C">
            <w:pPr>
              <w:jc w:val="center"/>
              <w:rPr>
                <w:rFonts w:asciiTheme="minorHAnsi" w:hAnsiTheme="minorHAnsi"/>
                <w:b w:val="0"/>
                <w:color w:val="auto"/>
                <w:sz w:val="18"/>
                <w:szCs w:val="18"/>
                <w:lang w:val="sr-Cyrl-BA"/>
              </w:rPr>
            </w:pPr>
            <w:r w:rsidRPr="00621793">
              <w:rPr>
                <w:rFonts w:asciiTheme="minorHAnsi" w:hAnsiTheme="minorHAnsi"/>
                <w:b w:val="0"/>
                <w:sz w:val="18"/>
                <w:szCs w:val="18"/>
                <w:lang w:val="sr-Cyrl-BA"/>
              </w:rPr>
              <w:t>Dozvola izdata prvi put</w:t>
            </w:r>
          </w:p>
        </w:tc>
      </w:tr>
      <w:tr w:rsidR="005A1B74" w:rsidRPr="008144B0" w:rsidDel="00920CA0" w:rsidTr="00621793">
        <w:trPr>
          <w:cnfStyle w:val="010000000000" w:firstRow="0" w:lastRow="1" w:firstColumn="0" w:lastColumn="0" w:oddVBand="0" w:evenVBand="0" w:oddHBand="0" w:evenHBand="0" w:firstRowFirstColumn="0" w:firstRowLastColumn="0" w:lastRowFirstColumn="0" w:lastRowLastColumn="0"/>
          <w:trHeight w:val="75"/>
        </w:trPr>
        <w:tc>
          <w:tcPr>
            <w:cnfStyle w:val="001000000000" w:firstRow="0" w:lastRow="0" w:firstColumn="1" w:lastColumn="0" w:oddVBand="0" w:evenVBand="0" w:oddHBand="0" w:evenHBand="0" w:firstRowFirstColumn="0" w:firstRowLastColumn="0" w:lastRowFirstColumn="0" w:lastRowLastColumn="0"/>
            <w:tcW w:w="659" w:type="dxa"/>
          </w:tcPr>
          <w:p w:rsidR="005A1B74" w:rsidRPr="008144B0" w:rsidRDefault="005A1B74" w:rsidP="002D1E7C">
            <w:pPr>
              <w:rPr>
                <w:rFonts w:asciiTheme="minorHAnsi" w:hAnsiTheme="minorHAnsi" w:cs="Calibri"/>
                <w:color w:val="auto"/>
                <w:sz w:val="20"/>
                <w:szCs w:val="20"/>
                <w:lang w:val="sr-Cyrl-BA"/>
              </w:rPr>
            </w:pPr>
          </w:p>
        </w:tc>
        <w:tc>
          <w:tcPr>
            <w:cnfStyle w:val="000010000000" w:firstRow="0" w:lastRow="0" w:firstColumn="0" w:lastColumn="0" w:oddVBand="1" w:evenVBand="0" w:oddHBand="0" w:evenHBand="0" w:firstRowFirstColumn="0" w:firstRowLastColumn="0" w:lastRowFirstColumn="0" w:lastRowLastColumn="0"/>
            <w:tcW w:w="2403" w:type="dxa"/>
          </w:tcPr>
          <w:p w:rsidR="005A1B74" w:rsidRPr="008144B0" w:rsidRDefault="005A1B74" w:rsidP="002D1E7C">
            <w:pPr>
              <w:rPr>
                <w:rFonts w:asciiTheme="minorHAnsi" w:hAnsiTheme="minorHAnsi"/>
                <w:color w:val="auto"/>
                <w:sz w:val="20"/>
                <w:szCs w:val="20"/>
                <w:lang w:val="sr-Cyrl-BA"/>
              </w:rPr>
            </w:pPr>
          </w:p>
        </w:tc>
        <w:tc>
          <w:tcPr>
            <w:tcW w:w="2041" w:type="dxa"/>
          </w:tcPr>
          <w:p w:rsidR="005A1B74" w:rsidRPr="008144B0" w:rsidRDefault="005A1B74" w:rsidP="002D1E7C">
            <w:pPr>
              <w:cnfStyle w:val="010000000000" w:firstRow="0" w:lastRow="1" w:firstColumn="0" w:lastColumn="0" w:oddVBand="0" w:evenVBand="0" w:oddHBand="0" w:evenHBand="0" w:firstRowFirstColumn="0" w:firstRowLastColumn="0" w:lastRowFirstColumn="0" w:lastRowLastColumn="0"/>
              <w:rPr>
                <w:rFonts w:asciiTheme="minorHAnsi" w:hAnsiTheme="minorHAnsi"/>
                <w:color w:val="auto"/>
                <w:sz w:val="20"/>
                <w:szCs w:val="20"/>
                <w:lang w:val="sr-Cyrl-BA"/>
              </w:rPr>
            </w:pPr>
          </w:p>
        </w:tc>
        <w:tc>
          <w:tcPr>
            <w:cnfStyle w:val="000010000000" w:firstRow="0" w:lastRow="0" w:firstColumn="0" w:lastColumn="0" w:oddVBand="1" w:evenVBand="0" w:oddHBand="0" w:evenHBand="0" w:firstRowFirstColumn="0" w:firstRowLastColumn="0" w:lastRowFirstColumn="0" w:lastRowLastColumn="0"/>
            <w:tcW w:w="2127" w:type="dxa"/>
          </w:tcPr>
          <w:p w:rsidR="005A1B74" w:rsidRPr="008144B0" w:rsidRDefault="005A1B74" w:rsidP="002D1E7C">
            <w:pPr>
              <w:rPr>
                <w:rFonts w:asciiTheme="minorHAnsi" w:hAnsiTheme="minorHAnsi"/>
                <w:color w:val="auto"/>
                <w:sz w:val="20"/>
                <w:szCs w:val="20"/>
                <w:lang w:val="sr-Cyrl-BA"/>
              </w:rPr>
            </w:pPr>
          </w:p>
        </w:tc>
        <w:tc>
          <w:tcPr>
            <w:cnfStyle w:val="000100000000" w:firstRow="0" w:lastRow="0" w:firstColumn="0" w:lastColumn="1" w:oddVBand="0" w:evenVBand="0" w:oddHBand="0" w:evenHBand="0" w:firstRowFirstColumn="0" w:firstRowLastColumn="0" w:lastRowFirstColumn="0" w:lastRowLastColumn="0"/>
            <w:tcW w:w="2552" w:type="dxa"/>
          </w:tcPr>
          <w:p w:rsidR="005A1B74" w:rsidRPr="008144B0" w:rsidDel="00920CA0" w:rsidRDefault="005A1B74" w:rsidP="002D1E7C">
            <w:pPr>
              <w:jc w:val="center"/>
              <w:rPr>
                <w:rFonts w:asciiTheme="minorHAnsi" w:hAnsiTheme="minorHAnsi"/>
                <w:color w:val="auto"/>
                <w:sz w:val="20"/>
                <w:szCs w:val="20"/>
                <w:lang w:val="sr-Cyrl-BA"/>
              </w:rPr>
            </w:pPr>
          </w:p>
        </w:tc>
      </w:tr>
    </w:tbl>
    <w:p w:rsidR="005A1B74" w:rsidRPr="008144B0" w:rsidRDefault="005A1B74" w:rsidP="002D1E7C">
      <w:pPr>
        <w:pStyle w:val="ListParagraph"/>
        <w:numPr>
          <w:ilvl w:val="0"/>
          <w:numId w:val="3"/>
        </w:numPr>
        <w:spacing w:after="120"/>
        <w:ind w:right="-2"/>
        <w:jc w:val="both"/>
        <w:rPr>
          <w:rFonts w:asciiTheme="minorHAnsi" w:hAnsiTheme="minorHAnsi" w:cs="Calibri"/>
          <w:sz w:val="18"/>
          <w:szCs w:val="18"/>
          <w:lang w:val="sr-Cyrl-BA"/>
        </w:rPr>
      </w:pPr>
      <w:r w:rsidRPr="008144B0">
        <w:rPr>
          <w:rFonts w:asciiTheme="minorHAnsi" w:hAnsiTheme="minorHAnsi" w:cstheme="minorHAnsi"/>
          <w:sz w:val="18"/>
          <w:szCs w:val="18"/>
          <w:lang w:val="sr-Cyrl-BA"/>
        </w:rPr>
        <w:t>*</w:t>
      </w:r>
      <w:r w:rsidRPr="008144B0">
        <w:rPr>
          <w:rFonts w:asciiTheme="minorHAnsi" w:hAnsiTheme="minorHAnsi" w:cstheme="minorHAnsi"/>
          <w:i/>
          <w:sz w:val="18"/>
          <w:szCs w:val="18"/>
          <w:lang w:val="sr-Cyrl-BA"/>
        </w:rPr>
        <w:t>Stupanjem na snagu Zakona o električnoj energiji</w:t>
      </w:r>
      <w:r w:rsidRPr="008144B0">
        <w:rPr>
          <w:rFonts w:asciiTheme="minorHAnsi" w:hAnsiTheme="minorHAnsi" w:cstheme="minorHAnsi"/>
          <w:i/>
          <w:lang w:val="sr-Cyrl-BA"/>
        </w:rPr>
        <w:t xml:space="preserve"> </w:t>
      </w:r>
      <w:r w:rsidRPr="008144B0">
        <w:rPr>
          <w:rFonts w:asciiTheme="minorHAnsi" w:hAnsiTheme="minorHAnsi" w:cstheme="minorHAnsi"/>
          <w:i/>
          <w:sz w:val="18"/>
          <w:szCs w:val="18"/>
          <w:lang w:val="sr-Cyrl-BA"/>
        </w:rPr>
        <w:t>(Službeni glasnik Republike Srpske, broj 68/20), propisano je da je proizvođač koji proizvodi električnu energiju u više objekata čija je ukupna instalisana snaga veća od 1 MW, dužan da pribavi dozvolu za proizvodnju električne energije.</w:t>
      </w:r>
    </w:p>
    <w:p w:rsidR="005A1B74" w:rsidRPr="008144B0" w:rsidRDefault="005A1B74" w:rsidP="002D1E7C">
      <w:pPr>
        <w:pStyle w:val="Heading3"/>
        <w:numPr>
          <w:ilvl w:val="2"/>
          <w:numId w:val="31"/>
        </w:numPr>
        <w:spacing w:after="240"/>
        <w:rPr>
          <w:rFonts w:asciiTheme="minorHAnsi" w:hAnsiTheme="minorHAnsi"/>
          <w:sz w:val="24"/>
          <w:lang w:val="sr-Cyrl-BA"/>
        </w:rPr>
      </w:pPr>
      <w:bookmarkStart w:id="76" w:name="_Toc210301152"/>
      <w:r w:rsidRPr="008144B0">
        <w:rPr>
          <w:rFonts w:asciiTheme="minorHAnsi" w:hAnsiTheme="minorHAnsi"/>
          <w:sz w:val="24"/>
          <w:lang w:val="sr-Cyrl-BA"/>
        </w:rPr>
        <w:t>Nadgledanje poslovnih aktivnosti korisnika dozvola</w:t>
      </w:r>
      <w:bookmarkEnd w:id="76"/>
    </w:p>
    <w:p w:rsidR="005A1B74" w:rsidRPr="008144B0" w:rsidRDefault="005A1B74" w:rsidP="002D1E7C">
      <w:pPr>
        <w:jc w:val="both"/>
        <w:rPr>
          <w:rFonts w:asciiTheme="minorHAnsi" w:hAnsiTheme="minorHAnsi"/>
          <w:sz w:val="22"/>
          <w:szCs w:val="22"/>
          <w:lang w:val="sr-Cyrl-BA"/>
        </w:rPr>
      </w:pPr>
      <w:r w:rsidRPr="008144B0">
        <w:rPr>
          <w:rFonts w:asciiTheme="minorHAnsi" w:hAnsiTheme="minorHAnsi"/>
          <w:sz w:val="22"/>
          <w:szCs w:val="22"/>
          <w:lang w:val="sr-Cyrl-BA"/>
        </w:rPr>
        <w:t>Nadgledanje poslovnih aktivnosti korisnika dozvola obuhvata analiziranje podataka i informacija dostavljenih kroz postupak redovnog ili vanrednog izvještavanja i obavljanje nadzornih provjera. Nadzorne provjere se obavljaju u prostorijama korisnika dozvole te se uz prisustvo ovlašćenog osoblja pristupa objektima, opremi i dokumentaciji korisnika dozvole. Nakon izvršene nadzorne provjere, priprema se izvještaj sa nadzorne provjere te se, po potrebi, donosi rješenje o preduzimanju mjera za otklanjanje nepravilnosti u pogledu poštovanja uslova izdatih dozvola.</w:t>
      </w:r>
    </w:p>
    <w:p w:rsidR="005A1B74" w:rsidRPr="00281D1F" w:rsidRDefault="005A1B74" w:rsidP="002D1E7C">
      <w:pPr>
        <w:numPr>
          <w:ilvl w:val="0"/>
          <w:numId w:val="26"/>
        </w:numPr>
        <w:spacing w:before="240" w:after="120"/>
        <w:ind w:left="1077" w:hanging="357"/>
        <w:jc w:val="both"/>
        <w:rPr>
          <w:rFonts w:asciiTheme="minorHAnsi" w:hAnsiTheme="minorHAnsi" w:cs="Calibri"/>
          <w:i/>
          <w:sz w:val="22"/>
          <w:szCs w:val="22"/>
          <w:lang w:val="sr-Cyrl-BA"/>
        </w:rPr>
      </w:pPr>
      <w:r w:rsidRPr="00281D1F">
        <w:rPr>
          <w:rFonts w:asciiTheme="minorHAnsi" w:hAnsiTheme="minorHAnsi" w:cs="Calibri"/>
          <w:b/>
          <w:bCs/>
          <w:i/>
          <w:sz w:val="22"/>
          <w:szCs w:val="22"/>
          <w:lang w:val="sr-Cyrl-BA"/>
        </w:rPr>
        <w:t>Nadzorne</w:t>
      </w:r>
      <w:r w:rsidRPr="00281D1F">
        <w:rPr>
          <w:rFonts w:asciiTheme="minorHAnsi" w:hAnsiTheme="minorHAnsi" w:cs="Calibri"/>
          <w:i/>
          <w:sz w:val="22"/>
          <w:szCs w:val="22"/>
          <w:lang w:val="sr-Cyrl-BA"/>
        </w:rPr>
        <w:t xml:space="preserve"> </w:t>
      </w:r>
      <w:r w:rsidRPr="00281D1F">
        <w:rPr>
          <w:rFonts w:asciiTheme="minorHAnsi" w:hAnsiTheme="minorHAnsi" w:cs="Calibri"/>
          <w:b/>
          <w:i/>
          <w:sz w:val="22"/>
          <w:szCs w:val="22"/>
          <w:lang w:val="sr-Cyrl-BA"/>
        </w:rPr>
        <w:t>provjere</w:t>
      </w:r>
    </w:p>
    <w:p w:rsidR="005A1B74" w:rsidRPr="003312D8" w:rsidRDefault="005A1B74" w:rsidP="002D1E7C">
      <w:pPr>
        <w:spacing w:before="120"/>
        <w:jc w:val="both"/>
        <w:rPr>
          <w:rFonts w:asciiTheme="minorHAnsi" w:hAnsiTheme="minorHAnsi"/>
          <w:sz w:val="22"/>
          <w:szCs w:val="22"/>
          <w:lang w:val="sr-Cyrl-BA"/>
        </w:rPr>
      </w:pPr>
      <w:r w:rsidRPr="004135A9">
        <w:rPr>
          <w:rFonts w:asciiTheme="minorHAnsi" w:hAnsiTheme="minorHAnsi"/>
          <w:sz w:val="22"/>
          <w:szCs w:val="22"/>
          <w:lang w:val="sr-Cyrl-BA"/>
        </w:rPr>
        <w:t xml:space="preserve">Regulatorna komisija je </w:t>
      </w:r>
      <w:r w:rsidRPr="004135A9">
        <w:rPr>
          <w:rFonts w:asciiTheme="minorHAnsi" w:hAnsiTheme="minorHAnsi"/>
          <w:sz w:val="22"/>
          <w:szCs w:val="22"/>
        </w:rPr>
        <w:t xml:space="preserve">31. </w:t>
      </w:r>
      <w:r>
        <w:rPr>
          <w:rFonts w:asciiTheme="minorHAnsi" w:hAnsiTheme="minorHAnsi"/>
          <w:sz w:val="22"/>
          <w:szCs w:val="22"/>
          <w:lang w:val="sr-Cyrl-RS"/>
        </w:rPr>
        <w:t>j</w:t>
      </w:r>
      <w:r w:rsidRPr="004135A9">
        <w:rPr>
          <w:rFonts w:asciiTheme="minorHAnsi" w:hAnsiTheme="minorHAnsi"/>
          <w:sz w:val="22"/>
          <w:szCs w:val="22"/>
          <w:lang w:val="sr-Cyrl-BA"/>
        </w:rPr>
        <w:t>anuara 2024. godine donijela Rješenje</w:t>
      </w:r>
      <w:r w:rsidRPr="003E540A">
        <w:t xml:space="preserve"> </w:t>
      </w:r>
      <w:r w:rsidRPr="003312D8">
        <w:rPr>
          <w:rFonts w:asciiTheme="minorHAnsi" w:hAnsiTheme="minorHAnsi"/>
          <w:sz w:val="22"/>
          <w:szCs w:val="22"/>
          <w:lang w:val="sr-Cyrl-BA"/>
        </w:rPr>
        <w:t xml:space="preserve">o preduzimanju mjera nakon obavljenog nadzora nad radom Operatora sistema podsticaja, broj 01-489-11/23/R-87-303. Nadzor je obavljen u Mješovitom holdingu </w:t>
      </w:r>
      <w:r>
        <w:rPr>
          <w:rFonts w:asciiTheme="minorHAnsi" w:hAnsiTheme="minorHAnsi"/>
          <w:sz w:val="22"/>
          <w:szCs w:val="22"/>
          <w:lang w:val="sr-Cyrl-BA"/>
        </w:rPr>
        <w:t>„</w:t>
      </w:r>
      <w:r w:rsidRPr="003312D8">
        <w:rPr>
          <w:rFonts w:asciiTheme="minorHAnsi" w:hAnsiTheme="minorHAnsi"/>
          <w:sz w:val="22"/>
          <w:szCs w:val="22"/>
          <w:lang w:val="sr-Cyrl-BA"/>
        </w:rPr>
        <w:t>Elektroprivreda Republike Srpske</w:t>
      </w:r>
      <w:r>
        <w:rPr>
          <w:rFonts w:asciiTheme="minorHAnsi" w:hAnsiTheme="minorHAnsi"/>
          <w:sz w:val="22"/>
          <w:szCs w:val="22"/>
          <w:lang w:val="sr-Cyrl-BA"/>
        </w:rPr>
        <w:t>“</w:t>
      </w:r>
      <w:r w:rsidRPr="003312D8">
        <w:rPr>
          <w:rFonts w:asciiTheme="minorHAnsi" w:hAnsiTheme="minorHAnsi"/>
          <w:sz w:val="22"/>
          <w:szCs w:val="22"/>
          <w:lang w:val="sr-Cyrl-BA"/>
        </w:rPr>
        <w:t xml:space="preserve"> - Matično preduzeće, Akcionarsko društvo, kao vršiocu funkcije Operatora sistema podsticaja, u periodu od 11. do 15. decembra 2023. godine. Nakon obavljenog nadzora</w:t>
      </w:r>
      <w:r>
        <w:rPr>
          <w:rFonts w:asciiTheme="minorHAnsi" w:hAnsiTheme="minorHAnsi"/>
          <w:sz w:val="22"/>
          <w:szCs w:val="22"/>
          <w:lang w:val="sr-Cyrl-BA"/>
        </w:rPr>
        <w:t>,</w:t>
      </w:r>
      <w:r w:rsidRPr="003312D8">
        <w:rPr>
          <w:rFonts w:asciiTheme="minorHAnsi" w:hAnsiTheme="minorHAnsi"/>
          <w:sz w:val="22"/>
          <w:szCs w:val="22"/>
          <w:lang w:val="sr-Cyrl-BA"/>
        </w:rPr>
        <w:t xml:space="preserve"> sačinjen je Izvještaj sa nadzora nad radom Operatora sistema podsticaja, broj 01-489-9/23 od 18. januara 2024, koji je 19. januara dostavljen Mješovitom holdingu </w:t>
      </w:r>
      <w:r>
        <w:rPr>
          <w:rFonts w:asciiTheme="minorHAnsi" w:hAnsiTheme="minorHAnsi"/>
          <w:sz w:val="22"/>
          <w:szCs w:val="22"/>
          <w:lang w:val="sr-Cyrl-BA"/>
        </w:rPr>
        <w:t>„</w:t>
      </w:r>
      <w:r w:rsidRPr="003312D8">
        <w:rPr>
          <w:rFonts w:asciiTheme="minorHAnsi" w:hAnsiTheme="minorHAnsi"/>
          <w:sz w:val="22"/>
          <w:szCs w:val="22"/>
          <w:lang w:val="sr-Cyrl-BA"/>
        </w:rPr>
        <w:t>Elektroprivreda Republike Srpske</w:t>
      </w:r>
      <w:r>
        <w:rPr>
          <w:rFonts w:asciiTheme="minorHAnsi" w:hAnsiTheme="minorHAnsi"/>
          <w:sz w:val="22"/>
          <w:szCs w:val="22"/>
          <w:lang w:val="sr-Cyrl-BA"/>
        </w:rPr>
        <w:t>“</w:t>
      </w:r>
      <w:r w:rsidRPr="003312D8">
        <w:rPr>
          <w:rFonts w:asciiTheme="minorHAnsi" w:hAnsiTheme="minorHAnsi"/>
          <w:sz w:val="22"/>
          <w:szCs w:val="22"/>
          <w:lang w:val="sr-Cyrl-BA"/>
        </w:rPr>
        <w:t xml:space="preserve"> - Matično preduzeće, Akcionarsko društvo Trebinje, kao vršiocu funkcije Operatora sistema podsticaja, sa rokom za dostavljanje komentara do 26. januara 2024. godine. U ostavljenom roku</w:t>
      </w:r>
      <w:r>
        <w:rPr>
          <w:rFonts w:asciiTheme="minorHAnsi" w:hAnsiTheme="minorHAnsi"/>
          <w:sz w:val="22"/>
          <w:szCs w:val="22"/>
          <w:lang w:val="sr-Cyrl-BA"/>
        </w:rPr>
        <w:t>,</w:t>
      </w:r>
      <w:r w:rsidRPr="003312D8">
        <w:rPr>
          <w:rFonts w:asciiTheme="minorHAnsi" w:hAnsiTheme="minorHAnsi"/>
          <w:sz w:val="22"/>
          <w:szCs w:val="22"/>
          <w:lang w:val="sr-Cyrl-BA"/>
        </w:rPr>
        <w:t xml:space="preserve"> nije bilo komentara. Ovo rješenje Regulatorne komisije sadrž</w:t>
      </w:r>
      <w:r>
        <w:rPr>
          <w:rFonts w:asciiTheme="minorHAnsi" w:hAnsiTheme="minorHAnsi"/>
          <w:sz w:val="22"/>
          <w:szCs w:val="22"/>
          <w:lang w:val="sr-Cyrl-BA"/>
        </w:rPr>
        <w:t>i</w:t>
      </w:r>
      <w:r w:rsidRPr="003312D8">
        <w:rPr>
          <w:rFonts w:asciiTheme="minorHAnsi" w:hAnsiTheme="minorHAnsi"/>
          <w:sz w:val="22"/>
          <w:szCs w:val="22"/>
          <w:lang w:val="sr-Cyrl-BA"/>
        </w:rPr>
        <w:t xml:space="preserve"> mjere za unapređenje rada Operatora sistema podsticaja, kao i transparentnosti funkcionisanja sistema podsticaja te da se na osnovu obavljenog nadzora uputi inicijativa Vladi Republike Srpske za rješavanje trajnog statusa Operatora sistema podsticaja u skladu sa propisima na način da se u okviru Mješovitog holdinga </w:t>
      </w:r>
      <w:r>
        <w:rPr>
          <w:rFonts w:asciiTheme="minorHAnsi" w:hAnsiTheme="minorHAnsi"/>
          <w:sz w:val="22"/>
          <w:szCs w:val="22"/>
          <w:lang w:val="sr-Cyrl-BA"/>
        </w:rPr>
        <w:t>„</w:t>
      </w:r>
      <w:r w:rsidRPr="003312D8">
        <w:rPr>
          <w:rFonts w:asciiTheme="minorHAnsi" w:hAnsiTheme="minorHAnsi"/>
          <w:sz w:val="22"/>
          <w:szCs w:val="22"/>
          <w:lang w:val="sr-Cyrl-BA"/>
        </w:rPr>
        <w:t>Elektroprivreda Republike Srpske</w:t>
      </w:r>
      <w:r>
        <w:rPr>
          <w:rFonts w:asciiTheme="minorHAnsi" w:hAnsiTheme="minorHAnsi"/>
          <w:sz w:val="22"/>
          <w:szCs w:val="22"/>
          <w:lang w:val="sr-Cyrl-BA"/>
        </w:rPr>
        <w:t>“</w:t>
      </w:r>
      <w:r w:rsidRPr="003312D8">
        <w:rPr>
          <w:rFonts w:asciiTheme="minorHAnsi" w:hAnsiTheme="minorHAnsi"/>
          <w:sz w:val="22"/>
          <w:szCs w:val="22"/>
          <w:lang w:val="sr-Cyrl-BA"/>
        </w:rPr>
        <w:t xml:space="preserve">- Matično preduzeće, Akcionarsko društvo Trebinje statusno uredi Operator sistema podsticaja kao posebna organizaciona i administrativno-funkcionalna cjelina osposobljena za samostalno sprovođenje nadležnosti propisanih Zakonom o obnovljivim izvorima energije ili da se fomira Operator sistema podsticaja kao posebno pravno lice. </w:t>
      </w:r>
    </w:p>
    <w:p w:rsidR="005A1B74" w:rsidRPr="0037433A" w:rsidRDefault="005A1B74" w:rsidP="002D1E7C">
      <w:pPr>
        <w:spacing w:before="120"/>
        <w:jc w:val="both"/>
        <w:rPr>
          <w:rFonts w:asciiTheme="minorHAnsi" w:hAnsiTheme="minorHAnsi"/>
          <w:sz w:val="22"/>
          <w:szCs w:val="22"/>
          <w:lang w:val="sr-Cyrl-BA"/>
        </w:rPr>
      </w:pPr>
      <w:r w:rsidRPr="0038070C">
        <w:rPr>
          <w:rFonts w:asciiTheme="minorHAnsi" w:hAnsiTheme="minorHAnsi"/>
          <w:sz w:val="22"/>
          <w:szCs w:val="22"/>
          <w:lang w:val="sr-Cyrl-BA"/>
        </w:rPr>
        <w:t xml:space="preserve">Regulatorna komisija je u </w:t>
      </w:r>
      <w:r w:rsidRPr="004135A9">
        <w:rPr>
          <w:rFonts w:asciiTheme="minorHAnsi" w:hAnsiTheme="minorHAnsi"/>
          <w:sz w:val="22"/>
          <w:szCs w:val="22"/>
          <w:lang w:val="sr-Cyrl-BA"/>
        </w:rPr>
        <w:t>oktobru</w:t>
      </w:r>
      <w:r w:rsidRPr="0038070C">
        <w:rPr>
          <w:rFonts w:asciiTheme="minorHAnsi" w:hAnsiTheme="minorHAnsi"/>
          <w:sz w:val="22"/>
          <w:szCs w:val="22"/>
          <w:lang w:val="sr-Cyrl-BA"/>
        </w:rPr>
        <w:t xml:space="preserve"> 2024. godine donijela Rješenje </w:t>
      </w:r>
      <w:r w:rsidRPr="004135A9">
        <w:rPr>
          <w:rFonts w:asciiTheme="minorHAnsi" w:hAnsiTheme="minorHAnsi"/>
          <w:sz w:val="22"/>
          <w:szCs w:val="22"/>
          <w:lang w:val="sr-Cyrl-BA"/>
        </w:rPr>
        <w:t>o preduzimanju mjera nakon obavljen</w:t>
      </w:r>
      <w:r w:rsidRPr="004135A9">
        <w:rPr>
          <w:rFonts w:asciiTheme="minorHAnsi" w:hAnsiTheme="minorHAnsi"/>
          <w:sz w:val="22"/>
          <w:szCs w:val="22"/>
        </w:rPr>
        <w:t xml:space="preserve">og nadzora </w:t>
      </w:r>
      <w:r w:rsidRPr="004135A9">
        <w:rPr>
          <w:rFonts w:asciiTheme="minorHAnsi" w:hAnsiTheme="minorHAnsi"/>
          <w:sz w:val="22"/>
          <w:szCs w:val="22"/>
          <w:lang w:val="sr-Cyrl-BA"/>
        </w:rPr>
        <w:t xml:space="preserve">u privrednom društvu Mješoviti holding </w:t>
      </w:r>
      <w:r>
        <w:rPr>
          <w:rFonts w:asciiTheme="minorHAnsi" w:hAnsiTheme="minorHAnsi"/>
          <w:sz w:val="22"/>
          <w:szCs w:val="22"/>
          <w:lang w:val="sr-Cyrl-BA"/>
        </w:rPr>
        <w:t>„</w:t>
      </w:r>
      <w:r w:rsidRPr="004135A9">
        <w:rPr>
          <w:rFonts w:asciiTheme="minorHAnsi" w:hAnsiTheme="minorHAnsi"/>
          <w:sz w:val="22"/>
          <w:szCs w:val="22"/>
          <w:lang w:val="sr-Cyrl-BA"/>
        </w:rPr>
        <w:t>Elektroprivreda Republike Srpske</w:t>
      </w:r>
      <w:r>
        <w:rPr>
          <w:rFonts w:asciiTheme="minorHAnsi" w:hAnsiTheme="minorHAnsi"/>
          <w:sz w:val="22"/>
          <w:szCs w:val="22"/>
          <w:lang w:val="sr-Cyrl-BA"/>
        </w:rPr>
        <w:t>“</w:t>
      </w:r>
      <w:r w:rsidRPr="004135A9">
        <w:rPr>
          <w:rFonts w:asciiTheme="minorHAnsi" w:hAnsiTheme="minorHAnsi"/>
          <w:sz w:val="22"/>
          <w:szCs w:val="22"/>
          <w:lang w:val="sr-Cyrl-BA"/>
        </w:rPr>
        <w:t xml:space="preserve"> - Matično preduzeće, Akcionarsko društvo Trebinje, kao korisnika dozvole za obavljanje djelatnosti trgovine i snabdijevanja električnom energijom,</w:t>
      </w:r>
      <w:r w:rsidRPr="0038070C">
        <w:rPr>
          <w:rFonts w:asciiTheme="minorHAnsi" w:hAnsiTheme="minorHAnsi"/>
          <w:sz w:val="22"/>
          <w:szCs w:val="22"/>
          <w:lang w:val="sr-Cyrl-BA"/>
        </w:rPr>
        <w:t xml:space="preserve"> broj </w:t>
      </w:r>
      <w:r w:rsidRPr="004135A9">
        <w:rPr>
          <w:rFonts w:asciiTheme="minorHAnsi" w:hAnsiTheme="minorHAnsi"/>
          <w:sz w:val="22"/>
          <w:szCs w:val="22"/>
          <w:lang w:val="sr-Cyrl-BA"/>
        </w:rPr>
        <w:t>01-700-6/24/R-114-1039 od 24. oktobra 2024. godine</w:t>
      </w:r>
      <w:r w:rsidRPr="0038070C">
        <w:rPr>
          <w:rFonts w:asciiTheme="minorHAnsi" w:hAnsiTheme="minorHAnsi"/>
          <w:sz w:val="22"/>
          <w:szCs w:val="22"/>
          <w:lang w:val="sr-Cyrl-BA"/>
        </w:rPr>
        <w:t>.</w:t>
      </w:r>
      <w:r w:rsidRPr="004135A9">
        <w:rPr>
          <w:rFonts w:asciiTheme="minorHAnsi" w:hAnsiTheme="minorHAnsi"/>
          <w:sz w:val="22"/>
          <w:szCs w:val="22"/>
          <w:lang w:val="sr-Cyrl-BA"/>
        </w:rPr>
        <w:t xml:space="preserve"> Ovo privredno društvo obavlja funkciju i javnog snabdjevača na tržištu električne energije u Republici Srpskoj i funkciju Operatora sistema podsticaja.</w:t>
      </w:r>
      <w:r>
        <w:rPr>
          <w:rFonts w:asciiTheme="minorHAnsi" w:hAnsiTheme="minorHAnsi"/>
          <w:sz w:val="22"/>
          <w:szCs w:val="22"/>
          <w:lang w:val="sr-Cyrl-BA"/>
        </w:rPr>
        <w:t xml:space="preserve"> Nadzorna provjera je </w:t>
      </w:r>
      <w:r w:rsidRPr="00C174D5">
        <w:rPr>
          <w:rFonts w:asciiTheme="minorHAnsi" w:hAnsiTheme="minorHAnsi"/>
          <w:sz w:val="22"/>
          <w:szCs w:val="22"/>
          <w:lang w:val="sr-Cyrl-BA"/>
        </w:rPr>
        <w:t>obavlje</w:t>
      </w:r>
      <w:r>
        <w:rPr>
          <w:rFonts w:asciiTheme="minorHAnsi" w:hAnsiTheme="minorHAnsi"/>
          <w:sz w:val="22"/>
          <w:szCs w:val="22"/>
          <w:lang w:val="sr-Cyrl-BA"/>
        </w:rPr>
        <w:t>na u periodu od</w:t>
      </w:r>
      <w:r w:rsidRPr="004135A9">
        <w:rPr>
          <w:rFonts w:asciiTheme="minorHAnsi" w:hAnsiTheme="minorHAnsi"/>
          <w:sz w:val="22"/>
          <w:szCs w:val="22"/>
          <w:lang w:val="sr-Cyrl-BA"/>
        </w:rPr>
        <w:t xml:space="preserve"> 24. do 26. jun</w:t>
      </w:r>
      <w:r>
        <w:rPr>
          <w:rFonts w:asciiTheme="minorHAnsi" w:hAnsiTheme="minorHAnsi"/>
          <w:sz w:val="22"/>
          <w:szCs w:val="22"/>
          <w:lang w:val="sr-Cyrl-BA"/>
        </w:rPr>
        <w:t>a</w:t>
      </w:r>
      <w:r w:rsidRPr="004135A9">
        <w:rPr>
          <w:rFonts w:asciiTheme="minorHAnsi" w:hAnsiTheme="minorHAnsi"/>
          <w:sz w:val="22"/>
          <w:szCs w:val="22"/>
          <w:lang w:val="sr-Cyrl-BA"/>
        </w:rPr>
        <w:t xml:space="preserve"> 2024. godine</w:t>
      </w:r>
      <w:r>
        <w:rPr>
          <w:rFonts w:asciiTheme="minorHAnsi" w:hAnsiTheme="minorHAnsi"/>
          <w:sz w:val="22"/>
          <w:szCs w:val="22"/>
          <w:lang w:val="sr-Cyrl-BA"/>
        </w:rPr>
        <w:t>, a c</w:t>
      </w:r>
      <w:r w:rsidRPr="002578B7">
        <w:rPr>
          <w:rFonts w:asciiTheme="minorHAnsi" w:hAnsiTheme="minorHAnsi"/>
          <w:sz w:val="22"/>
          <w:szCs w:val="22"/>
          <w:lang w:val="sr-Cyrl-BA"/>
        </w:rPr>
        <w:t>ilj ove nadzorne</w:t>
      </w:r>
      <w:r>
        <w:rPr>
          <w:rFonts w:asciiTheme="minorHAnsi" w:hAnsiTheme="minorHAnsi"/>
          <w:sz w:val="22"/>
          <w:szCs w:val="22"/>
          <w:lang w:val="sr-Cyrl-BA"/>
        </w:rPr>
        <w:t xml:space="preserve"> provjere je bio da se</w:t>
      </w:r>
      <w:r w:rsidRPr="004135A9">
        <w:rPr>
          <w:rFonts w:asciiTheme="minorHAnsi" w:hAnsiTheme="minorHAnsi"/>
          <w:sz w:val="22"/>
          <w:szCs w:val="22"/>
          <w:lang w:val="sr-Cyrl-BA"/>
        </w:rPr>
        <w:t xml:space="preserve"> uvidom u dokumentaciju, opremu, proces rada, izuzimanjem dokumentacije i uzimanjem izjava od predstavnika korisnika dozvole,</w:t>
      </w:r>
      <w:r w:rsidRPr="002E69B0">
        <w:rPr>
          <w:rFonts w:asciiTheme="minorHAnsi" w:hAnsiTheme="minorHAnsi"/>
          <w:sz w:val="22"/>
          <w:szCs w:val="22"/>
          <w:lang w:val="sr-Cyrl-BA"/>
        </w:rPr>
        <w:t xml:space="preserve"> utvrdi</w:t>
      </w:r>
      <w:r w:rsidRPr="004135A9">
        <w:rPr>
          <w:rFonts w:asciiTheme="minorHAnsi" w:hAnsiTheme="minorHAnsi"/>
          <w:sz w:val="22"/>
          <w:szCs w:val="22"/>
          <w:lang w:val="sr-Cyrl-BA"/>
        </w:rPr>
        <w:t xml:space="preserve"> da li korisnik </w:t>
      </w:r>
      <w:r w:rsidRPr="0037433A">
        <w:rPr>
          <w:rFonts w:asciiTheme="minorHAnsi" w:hAnsiTheme="minorHAnsi"/>
          <w:sz w:val="22"/>
          <w:szCs w:val="22"/>
          <w:lang w:val="sr-Cyrl-BA"/>
        </w:rPr>
        <w:t xml:space="preserve">dozvole djeluje u skladu sa uslovima dozvole, zakonom i ostalim propisima. </w:t>
      </w:r>
    </w:p>
    <w:p w:rsidR="005A1B74" w:rsidRPr="0037433A" w:rsidRDefault="005A1B74" w:rsidP="002D1E7C">
      <w:pPr>
        <w:spacing w:before="120" w:after="120"/>
        <w:jc w:val="both"/>
        <w:rPr>
          <w:rFonts w:asciiTheme="minorHAnsi" w:hAnsiTheme="minorHAnsi"/>
          <w:sz w:val="22"/>
          <w:szCs w:val="22"/>
          <w:lang w:val="sr-Cyrl-BA"/>
        </w:rPr>
      </w:pPr>
      <w:r w:rsidRPr="0037433A">
        <w:rPr>
          <w:rFonts w:asciiTheme="minorHAnsi" w:hAnsiTheme="minorHAnsi"/>
          <w:sz w:val="22"/>
          <w:szCs w:val="22"/>
          <w:lang w:val="sr-Cyrl-BA"/>
        </w:rPr>
        <w:t>Regulatorna komisija je u 2024. godini izvršila nadzorne provjere kako slijedi:</w:t>
      </w:r>
    </w:p>
    <w:p w:rsidR="005A1B74" w:rsidRPr="0037433A" w:rsidRDefault="005A1B74" w:rsidP="002D1E7C">
      <w:pPr>
        <w:pStyle w:val="ListParagraph"/>
        <w:numPr>
          <w:ilvl w:val="0"/>
          <w:numId w:val="24"/>
        </w:numPr>
        <w:ind w:left="714" w:hanging="357"/>
        <w:jc w:val="both"/>
        <w:rPr>
          <w:rFonts w:asciiTheme="minorHAnsi" w:hAnsiTheme="minorHAnsi"/>
          <w:sz w:val="22"/>
          <w:szCs w:val="22"/>
          <w:lang w:val="sr-Cyrl-BA"/>
        </w:rPr>
      </w:pPr>
      <w:r w:rsidRPr="0037433A">
        <w:rPr>
          <w:rFonts w:asciiTheme="minorHAnsi" w:hAnsiTheme="minorHAnsi"/>
          <w:sz w:val="22"/>
          <w:szCs w:val="22"/>
          <w:lang w:val="sr-Cyrl-BA"/>
        </w:rPr>
        <w:t>redovnu nadzornu provjeru korisnika dozvole za obavljanje djelatnosti distribucije električne energije, ODS „Elektrokrajina“ a.d. Banja Luka,</w:t>
      </w:r>
    </w:p>
    <w:p w:rsidR="005A1B74" w:rsidRPr="0037433A" w:rsidRDefault="005A1B74" w:rsidP="002D1E7C">
      <w:pPr>
        <w:pStyle w:val="ListParagraph"/>
        <w:numPr>
          <w:ilvl w:val="0"/>
          <w:numId w:val="24"/>
        </w:numPr>
        <w:jc w:val="both"/>
        <w:rPr>
          <w:rFonts w:asciiTheme="minorHAnsi" w:hAnsiTheme="minorHAnsi"/>
          <w:sz w:val="22"/>
          <w:szCs w:val="22"/>
          <w:lang w:val="sr-Cyrl-BA"/>
        </w:rPr>
      </w:pPr>
      <w:r w:rsidRPr="0037433A">
        <w:rPr>
          <w:rFonts w:asciiTheme="minorHAnsi" w:hAnsiTheme="minorHAnsi"/>
          <w:sz w:val="22"/>
          <w:szCs w:val="22"/>
          <w:lang w:val="sr-Cyrl-BA"/>
        </w:rPr>
        <w:t>nadzornu provjeru korisnika dozvole za obavljanje djelatnosti distribucije električne energije, ODS „Elektro-Hercegovina“ a.d. Trebinje (redovnu i vanrednu),</w:t>
      </w:r>
    </w:p>
    <w:p w:rsidR="005A1B74" w:rsidRPr="0037433A" w:rsidRDefault="005A1B74" w:rsidP="002D1E7C">
      <w:pPr>
        <w:pStyle w:val="ListParagraph"/>
        <w:numPr>
          <w:ilvl w:val="0"/>
          <w:numId w:val="24"/>
        </w:numPr>
        <w:jc w:val="both"/>
        <w:rPr>
          <w:rFonts w:asciiTheme="minorHAnsi" w:hAnsiTheme="minorHAnsi"/>
          <w:sz w:val="22"/>
          <w:szCs w:val="22"/>
          <w:lang w:val="sr-Cyrl-BA"/>
        </w:rPr>
      </w:pPr>
      <w:r w:rsidRPr="0037433A">
        <w:rPr>
          <w:rFonts w:asciiTheme="minorHAnsi" w:hAnsiTheme="minorHAnsi"/>
          <w:sz w:val="22"/>
          <w:szCs w:val="22"/>
          <w:lang w:val="sr-Cyrl-BA"/>
        </w:rPr>
        <w:lastRenderedPageBreak/>
        <w:t>redovnu nadzornu provjeru korisnika dozvole za obavljanje djelatnosti distribucije električne energije, ODS „Elektrodistribucija“ a.d. Pale,</w:t>
      </w:r>
    </w:p>
    <w:p w:rsidR="005A1B74" w:rsidRPr="0037433A" w:rsidRDefault="005A1B74" w:rsidP="002D1E7C">
      <w:pPr>
        <w:pStyle w:val="ListParagraph"/>
        <w:numPr>
          <w:ilvl w:val="0"/>
          <w:numId w:val="24"/>
        </w:numPr>
        <w:jc w:val="both"/>
        <w:rPr>
          <w:rFonts w:asciiTheme="minorHAnsi" w:hAnsiTheme="minorHAnsi"/>
          <w:sz w:val="22"/>
          <w:szCs w:val="22"/>
          <w:lang w:val="sr-Cyrl-BA"/>
        </w:rPr>
      </w:pPr>
      <w:r w:rsidRPr="0037433A">
        <w:rPr>
          <w:rFonts w:asciiTheme="minorHAnsi" w:hAnsiTheme="minorHAnsi"/>
          <w:sz w:val="22"/>
          <w:szCs w:val="22"/>
          <w:lang w:val="sr-Cyrl-BA"/>
        </w:rPr>
        <w:t>redovnu nadzornu provjeru korisnika dozvole za obavljanje djelatnosti distribucije električne energije, ODS „Elektro Doboj“ a.d. Doboj,</w:t>
      </w:r>
    </w:p>
    <w:p w:rsidR="005A1B74" w:rsidRPr="0037433A" w:rsidRDefault="005A1B74" w:rsidP="002D1E7C">
      <w:pPr>
        <w:pStyle w:val="ListParagraph"/>
        <w:numPr>
          <w:ilvl w:val="0"/>
          <w:numId w:val="24"/>
        </w:numPr>
        <w:spacing w:after="120"/>
        <w:jc w:val="both"/>
        <w:rPr>
          <w:rFonts w:asciiTheme="minorHAnsi" w:hAnsiTheme="minorHAnsi"/>
          <w:sz w:val="22"/>
          <w:szCs w:val="22"/>
          <w:lang w:val="sr-Cyrl-BA"/>
        </w:rPr>
      </w:pPr>
      <w:r w:rsidRPr="0037433A">
        <w:rPr>
          <w:rFonts w:asciiTheme="minorHAnsi" w:hAnsiTheme="minorHAnsi"/>
          <w:sz w:val="22"/>
          <w:szCs w:val="22"/>
          <w:lang w:val="sr-Cyrl-BA"/>
        </w:rPr>
        <w:t xml:space="preserve">redovnu nadzornu provjeru korisnika dozvole za obavljanje djelatnosti </w:t>
      </w:r>
      <w:r w:rsidRPr="0037433A">
        <w:rPr>
          <w:rFonts w:asciiTheme="minorHAnsi" w:hAnsiTheme="minorHAnsi"/>
          <w:sz w:val="22"/>
          <w:szCs w:val="22"/>
          <w:lang w:val="sr-Cyrl-RS"/>
        </w:rPr>
        <w:t xml:space="preserve">snabdijevanja i trgovine električnom energijom, </w:t>
      </w:r>
      <w:r w:rsidRPr="0037433A">
        <w:rPr>
          <w:rFonts w:asciiTheme="minorHAnsi" w:hAnsiTheme="minorHAnsi"/>
          <w:sz w:val="22"/>
          <w:szCs w:val="22"/>
          <w:lang w:val="sr-Cyrl-BA"/>
        </w:rPr>
        <w:t>Mješovitog Holdinga „ERS” - MP a.d. Trebinje, a koji obavlja i funkcije javnog snabdjevača, te Operatora sistema podsticaja.</w:t>
      </w:r>
    </w:p>
    <w:p w:rsidR="005A1B74" w:rsidRPr="0037433A" w:rsidRDefault="005A1B74" w:rsidP="002D1E7C">
      <w:pPr>
        <w:spacing w:after="120"/>
        <w:jc w:val="both"/>
        <w:rPr>
          <w:rFonts w:asciiTheme="minorHAnsi" w:hAnsiTheme="minorHAnsi"/>
          <w:sz w:val="22"/>
          <w:szCs w:val="22"/>
          <w:lang w:val="sr-Cyrl-BA"/>
        </w:rPr>
      </w:pPr>
      <w:r w:rsidRPr="0037433A">
        <w:rPr>
          <w:rFonts w:asciiTheme="minorHAnsi" w:hAnsiTheme="minorHAnsi"/>
          <w:sz w:val="22"/>
          <w:szCs w:val="22"/>
          <w:lang w:val="sr-Cyrl-BA"/>
        </w:rPr>
        <w:t>Predmet ovih provjera je bilo utvrđivanje činjeničnog stanja u pogledu ispunjenosti određenih tačaka uslova dozvole i provjere provođenja rješenja Regulatorne komisije te provjera pridržavanja odredbi odgovarajućih zakonskih i podzakonskih akata.</w:t>
      </w:r>
    </w:p>
    <w:p w:rsidR="005A1B74" w:rsidRPr="0037433A" w:rsidRDefault="005A1B74" w:rsidP="002D1E7C">
      <w:pPr>
        <w:jc w:val="both"/>
        <w:rPr>
          <w:rFonts w:asciiTheme="minorHAnsi" w:hAnsiTheme="minorHAnsi"/>
          <w:sz w:val="22"/>
          <w:szCs w:val="22"/>
          <w:lang w:val="sr-Cyrl-BA"/>
        </w:rPr>
      </w:pPr>
      <w:r w:rsidRPr="0037433A">
        <w:rPr>
          <w:rFonts w:asciiTheme="minorHAnsi" w:hAnsiTheme="minorHAnsi"/>
          <w:sz w:val="22"/>
          <w:szCs w:val="22"/>
          <w:lang w:val="sr-Cyrl-BA"/>
        </w:rPr>
        <w:t>Regulatorna komisija je, nakon završenog postupka obavljenih redovnih nadzornih provjera, donijela rješenja o preduzimanju mjera tokom 2024. godine, te početkom 2025. godine za nadzor korisnika dozvole ODS „Elektro Doboj“ a.d. Doboj.</w:t>
      </w:r>
    </w:p>
    <w:p w:rsidR="005A1B74" w:rsidRPr="00281D1F" w:rsidRDefault="005A1B74" w:rsidP="002D1E7C">
      <w:pPr>
        <w:spacing w:before="120" w:after="120"/>
        <w:jc w:val="both"/>
        <w:rPr>
          <w:rFonts w:asciiTheme="minorHAnsi" w:hAnsiTheme="minorHAnsi"/>
          <w:sz w:val="22"/>
          <w:szCs w:val="22"/>
          <w:lang w:val="sr-Cyrl-BA"/>
        </w:rPr>
      </w:pPr>
      <w:r w:rsidRPr="0037433A">
        <w:rPr>
          <w:rFonts w:asciiTheme="minorHAnsi" w:hAnsiTheme="minorHAnsi"/>
          <w:sz w:val="22"/>
          <w:szCs w:val="22"/>
          <w:lang w:val="sr-Cyrl-BA"/>
        </w:rPr>
        <w:t>Rješenja o preduzimanju mjera nakon sprovedenih nadzornih provjera dostupna su na internet stranici Regulatorne komisije. Pored toga, rješenja sa izvještajima sa nadzornih provjera su dostavljena nadležnim institucijama u Republici Srpskoj. Regulatorna komisija je o zatečenom stanju u operaterima distributivnog sistema po određenim pitanjima obavijestila i nadležne institucije kao što su Republički zavod za standardizaciju i metrologiju Republike Srpske i Inspektorat Republike Srpske.</w:t>
      </w:r>
      <w:r w:rsidRPr="00281D1F">
        <w:rPr>
          <w:rFonts w:asciiTheme="minorHAnsi" w:hAnsiTheme="minorHAnsi"/>
          <w:sz w:val="22"/>
          <w:szCs w:val="22"/>
          <w:lang w:val="sr-Cyrl-BA"/>
        </w:rPr>
        <w:t xml:space="preserve"> </w:t>
      </w:r>
    </w:p>
    <w:p w:rsidR="005A1B74" w:rsidRPr="00281D1F" w:rsidRDefault="005A1B74" w:rsidP="002D1E7C">
      <w:pPr>
        <w:numPr>
          <w:ilvl w:val="0"/>
          <w:numId w:val="26"/>
        </w:numPr>
        <w:spacing w:before="240" w:after="120"/>
        <w:ind w:left="1077" w:hanging="357"/>
        <w:jc w:val="both"/>
        <w:rPr>
          <w:rFonts w:asciiTheme="minorHAnsi" w:hAnsiTheme="minorHAnsi" w:cs="Calibri"/>
          <w:i/>
          <w:sz w:val="22"/>
          <w:szCs w:val="22"/>
          <w:lang w:val="sr-Cyrl-BA"/>
        </w:rPr>
      </w:pPr>
      <w:r w:rsidRPr="00281D1F">
        <w:rPr>
          <w:rFonts w:asciiTheme="minorHAnsi" w:hAnsiTheme="minorHAnsi" w:cs="Calibri"/>
          <w:b/>
          <w:bCs/>
          <w:i/>
          <w:sz w:val="22"/>
          <w:szCs w:val="22"/>
          <w:lang w:val="sr-Cyrl-BA"/>
        </w:rPr>
        <w:t>Izvještavanje</w:t>
      </w:r>
      <w:r w:rsidRPr="00281D1F">
        <w:rPr>
          <w:rFonts w:asciiTheme="minorHAnsi" w:hAnsiTheme="minorHAnsi" w:cs="Calibri"/>
          <w:i/>
          <w:sz w:val="22"/>
          <w:szCs w:val="22"/>
          <w:lang w:val="sr-Cyrl-BA"/>
        </w:rPr>
        <w:t xml:space="preserve"> </w:t>
      </w:r>
    </w:p>
    <w:p w:rsidR="005A1B74" w:rsidRPr="0037433A" w:rsidRDefault="005A1B74" w:rsidP="002D1E7C">
      <w:pPr>
        <w:spacing w:after="120"/>
        <w:jc w:val="both"/>
        <w:rPr>
          <w:rFonts w:asciiTheme="minorHAnsi" w:hAnsiTheme="minorHAnsi"/>
          <w:sz w:val="22"/>
          <w:szCs w:val="22"/>
          <w:lang w:val="sr-Cyrl-BA"/>
        </w:rPr>
      </w:pPr>
      <w:bookmarkStart w:id="77" w:name="_Toc105493255"/>
      <w:bookmarkStart w:id="78" w:name="_Toc390086320"/>
      <w:bookmarkEnd w:id="77"/>
      <w:r w:rsidRPr="0037433A">
        <w:rPr>
          <w:rFonts w:asciiTheme="minorHAnsi" w:hAnsiTheme="minorHAnsi"/>
          <w:sz w:val="22"/>
          <w:szCs w:val="22"/>
          <w:lang w:val="sr-Cyrl-BA"/>
        </w:rPr>
        <w:t xml:space="preserve">Nadgledanje poslovnih aktivnosti korisnika dozvola se vrši i kroz proces redovnog izvještavanja. Korisnicima dozvola propisana je obaveza da redovno izvještavaju Regulatornu komisiju u skladu sa </w:t>
      </w:r>
      <w:r w:rsidRPr="0037433A">
        <w:rPr>
          <w:rFonts w:asciiTheme="minorHAnsi" w:hAnsiTheme="minorHAnsi"/>
          <w:i/>
          <w:sz w:val="22"/>
          <w:szCs w:val="22"/>
          <w:lang w:val="sr-Cyrl-BA"/>
        </w:rPr>
        <w:t>Pravilnikom o izvještavanju i drugim aktima Regulartorne komisije</w:t>
      </w:r>
      <w:r w:rsidRPr="0037433A">
        <w:rPr>
          <w:rFonts w:asciiTheme="minorHAnsi" w:hAnsiTheme="minorHAnsi"/>
          <w:sz w:val="22"/>
          <w:szCs w:val="22"/>
          <w:lang w:val="sr-Cyrl-BA"/>
        </w:rPr>
        <w:t xml:space="preserve">. Ovo izvještavanje obuhvata dostavljanje finansijskih, tehničkih, organizacionih i drugih podataka, kako je navedeno u </w:t>
      </w:r>
      <w:r w:rsidRPr="0037433A">
        <w:rPr>
          <w:rFonts w:asciiTheme="minorHAnsi" w:hAnsiTheme="minorHAnsi"/>
          <w:i/>
          <w:sz w:val="22"/>
          <w:szCs w:val="22"/>
          <w:lang w:val="sr-Cyrl-BA"/>
        </w:rPr>
        <w:t>Pravilniku o izvještavanju</w:t>
      </w:r>
      <w:r w:rsidRPr="0037433A">
        <w:rPr>
          <w:rFonts w:asciiTheme="minorHAnsi" w:hAnsiTheme="minorHAnsi"/>
          <w:sz w:val="22"/>
          <w:szCs w:val="22"/>
          <w:lang w:val="sr-Cyrl-BA"/>
        </w:rPr>
        <w:t>.</w:t>
      </w:r>
    </w:p>
    <w:p w:rsidR="005A1B74" w:rsidRPr="0037433A" w:rsidRDefault="005A1B74" w:rsidP="002D1E7C">
      <w:pPr>
        <w:jc w:val="both"/>
        <w:rPr>
          <w:rFonts w:asciiTheme="minorHAnsi" w:hAnsiTheme="minorHAnsi"/>
          <w:sz w:val="22"/>
          <w:szCs w:val="22"/>
          <w:lang w:val="sr-Cyrl-BA"/>
        </w:rPr>
      </w:pPr>
      <w:r w:rsidRPr="0037433A">
        <w:rPr>
          <w:rFonts w:asciiTheme="minorHAnsi" w:hAnsiTheme="minorHAnsi"/>
          <w:sz w:val="22"/>
          <w:szCs w:val="22"/>
          <w:lang w:val="sr-Cyrl-BA"/>
        </w:rPr>
        <w:t>Potrebno je naglasiti da je, nakon organizacionih promjena unutar samih operatera distributivnog sistema, došlo do poboljšanja kvaliteta izvještavanja, kada su u pitanju operateri distributivnog sistema.</w:t>
      </w:r>
    </w:p>
    <w:p w:rsidR="005A1B74" w:rsidRPr="00281D1F" w:rsidRDefault="005A1B74" w:rsidP="002D1E7C">
      <w:pPr>
        <w:pStyle w:val="Heading3"/>
        <w:numPr>
          <w:ilvl w:val="2"/>
          <w:numId w:val="31"/>
        </w:numPr>
        <w:spacing w:before="120" w:after="120"/>
        <w:ind w:left="0" w:firstLine="0"/>
        <w:rPr>
          <w:rFonts w:asciiTheme="minorHAnsi" w:hAnsiTheme="minorHAnsi"/>
          <w:sz w:val="24"/>
          <w:lang w:val="sr-Cyrl-BA"/>
        </w:rPr>
      </w:pPr>
      <w:bookmarkStart w:id="79" w:name="_Toc210301153"/>
      <w:r w:rsidRPr="0037433A">
        <w:rPr>
          <w:rFonts w:asciiTheme="minorHAnsi" w:hAnsiTheme="minorHAnsi"/>
          <w:sz w:val="24"/>
          <w:lang w:val="sr-Cyrl-BA"/>
        </w:rPr>
        <w:t>Izdavanje sertifikata za proizvodno</w:t>
      </w:r>
      <w:r w:rsidRPr="00281D1F">
        <w:rPr>
          <w:rFonts w:asciiTheme="minorHAnsi" w:hAnsiTheme="minorHAnsi"/>
          <w:sz w:val="24"/>
          <w:lang w:val="sr-Cyrl-BA"/>
        </w:rPr>
        <w:t xml:space="preserve"> postrojenje</w:t>
      </w:r>
      <w:bookmarkEnd w:id="78"/>
      <w:bookmarkEnd w:id="79"/>
    </w:p>
    <w:p w:rsidR="005A1B74" w:rsidRPr="0037433A" w:rsidRDefault="005A1B74" w:rsidP="002D1E7C">
      <w:pPr>
        <w:spacing w:after="120"/>
        <w:jc w:val="both"/>
        <w:rPr>
          <w:rFonts w:asciiTheme="minorHAnsi" w:hAnsiTheme="minorHAnsi"/>
          <w:bCs/>
          <w:sz w:val="22"/>
          <w:szCs w:val="22"/>
          <w:lang w:val="sr-Cyrl-BA"/>
        </w:rPr>
      </w:pPr>
      <w:bookmarkStart w:id="80" w:name="_Toc390086321"/>
      <w:r w:rsidRPr="0037433A">
        <w:rPr>
          <w:rFonts w:asciiTheme="minorHAnsi" w:hAnsiTheme="minorHAnsi"/>
          <w:bCs/>
          <w:sz w:val="22"/>
          <w:szCs w:val="22"/>
          <w:lang w:val="sr-Cyrl-BA"/>
        </w:rPr>
        <w:t xml:space="preserve">Regulatorna </w:t>
      </w:r>
      <w:r w:rsidRPr="0037433A">
        <w:rPr>
          <w:rFonts w:asciiTheme="minorHAnsi" w:hAnsiTheme="minorHAnsi"/>
          <w:sz w:val="22"/>
          <w:szCs w:val="22"/>
          <w:lang w:val="sr-Cyrl-BA"/>
        </w:rPr>
        <w:t>komisija</w:t>
      </w:r>
      <w:r w:rsidRPr="0037433A">
        <w:rPr>
          <w:rFonts w:asciiTheme="minorHAnsi" w:hAnsiTheme="minorHAnsi"/>
          <w:bCs/>
          <w:sz w:val="22"/>
          <w:szCs w:val="22"/>
          <w:lang w:val="sr-Cyrl-BA"/>
        </w:rPr>
        <w:t xml:space="preserve"> izdaje sertifikat proizvođaču električne energije za proizvodno postrojenje koje proizvodi električnu energiju iz obnovljivih izvora, na ekonomski isplativ način uz zaštitu životne sredine, a u kome je obezbijeđeno mjerenje svih energetskih veličina. Sertifikat je dokument koji predstavlja jedan od ključnih dokaza neophodnih za odobravanje prava na podsticaj proizvodnje električne energije iz obnovljivih izvora energije i za izdavanje garancija o porijeklu proizvedene električne energije. </w:t>
      </w:r>
    </w:p>
    <w:p w:rsidR="005A1B74" w:rsidRPr="0037433A" w:rsidRDefault="005A1B74" w:rsidP="002D1E7C">
      <w:pPr>
        <w:spacing w:before="120" w:after="120"/>
        <w:jc w:val="both"/>
        <w:rPr>
          <w:rFonts w:asciiTheme="minorHAnsi" w:hAnsiTheme="minorHAnsi"/>
          <w:bCs/>
          <w:sz w:val="22"/>
          <w:szCs w:val="22"/>
          <w:lang w:val="sr-Cyrl-BA"/>
        </w:rPr>
      </w:pPr>
      <w:r w:rsidRPr="0037433A">
        <w:rPr>
          <w:rFonts w:asciiTheme="minorHAnsi" w:hAnsiTheme="minorHAnsi"/>
          <w:bCs/>
          <w:sz w:val="22"/>
          <w:szCs w:val="22"/>
          <w:lang w:val="sr-Cyrl-BA"/>
        </w:rPr>
        <w:t xml:space="preserve">Zaključno sa 31.12.2024. godine, na snazi je bilo ukupno </w:t>
      </w:r>
      <w:r w:rsidRPr="0037433A">
        <w:rPr>
          <w:rFonts w:asciiTheme="minorHAnsi" w:hAnsiTheme="minorHAnsi"/>
          <w:bCs/>
          <w:sz w:val="22"/>
          <w:szCs w:val="22"/>
          <w:lang w:val="sr-Latn-BA"/>
        </w:rPr>
        <w:t>428</w:t>
      </w:r>
      <w:r w:rsidRPr="0037433A">
        <w:rPr>
          <w:rFonts w:asciiTheme="minorHAnsi" w:hAnsiTheme="minorHAnsi"/>
          <w:bCs/>
          <w:sz w:val="22"/>
          <w:szCs w:val="22"/>
          <w:lang w:val="sr-Cyrl-BA"/>
        </w:rPr>
        <w:t xml:space="preserve"> sertifikata za proizvodna postrojenja i to:</w:t>
      </w:r>
    </w:p>
    <w:p w:rsidR="005A1B74" w:rsidRPr="0037433A" w:rsidRDefault="005A1B74" w:rsidP="002D1E7C">
      <w:pPr>
        <w:numPr>
          <w:ilvl w:val="0"/>
          <w:numId w:val="30"/>
        </w:numPr>
        <w:ind w:left="714" w:hanging="357"/>
        <w:jc w:val="both"/>
        <w:rPr>
          <w:rFonts w:asciiTheme="minorHAnsi" w:hAnsiTheme="minorHAnsi"/>
          <w:bCs/>
          <w:sz w:val="22"/>
          <w:szCs w:val="22"/>
          <w:lang w:val="sr-Cyrl-BA"/>
        </w:rPr>
      </w:pPr>
      <w:r w:rsidRPr="0037433A">
        <w:rPr>
          <w:rFonts w:asciiTheme="minorHAnsi" w:hAnsiTheme="minorHAnsi"/>
          <w:bCs/>
          <w:sz w:val="22"/>
          <w:szCs w:val="22"/>
          <w:lang w:val="sr-Cyrl-BA"/>
        </w:rPr>
        <w:t xml:space="preserve">50 sertifikata za postrojenja koja koriste energetski potencijal vode, </w:t>
      </w:r>
    </w:p>
    <w:p w:rsidR="005A1B74" w:rsidRPr="0037433A" w:rsidRDefault="005A1B74" w:rsidP="002D1E7C">
      <w:pPr>
        <w:numPr>
          <w:ilvl w:val="0"/>
          <w:numId w:val="30"/>
        </w:numPr>
        <w:ind w:left="714" w:hanging="357"/>
        <w:jc w:val="both"/>
        <w:rPr>
          <w:rFonts w:asciiTheme="minorHAnsi" w:hAnsiTheme="minorHAnsi"/>
          <w:bCs/>
          <w:sz w:val="22"/>
          <w:szCs w:val="22"/>
          <w:lang w:val="sr-Cyrl-BA"/>
        </w:rPr>
      </w:pPr>
      <w:r w:rsidRPr="0037433A">
        <w:rPr>
          <w:rFonts w:asciiTheme="minorHAnsi" w:hAnsiTheme="minorHAnsi"/>
          <w:bCs/>
          <w:sz w:val="22"/>
          <w:szCs w:val="22"/>
          <w:lang w:val="sr-Cyrl-BA"/>
        </w:rPr>
        <w:t xml:space="preserve">dva sertifikata za postrojenja koja koriste energiju koja se dobija iz biomase, </w:t>
      </w:r>
    </w:p>
    <w:p w:rsidR="005A1B74" w:rsidRPr="0037433A" w:rsidRDefault="005A1B74" w:rsidP="002D1E7C">
      <w:pPr>
        <w:numPr>
          <w:ilvl w:val="0"/>
          <w:numId w:val="30"/>
        </w:numPr>
        <w:ind w:left="714" w:hanging="357"/>
        <w:jc w:val="both"/>
        <w:rPr>
          <w:rFonts w:asciiTheme="minorHAnsi" w:hAnsiTheme="minorHAnsi"/>
          <w:bCs/>
          <w:sz w:val="22"/>
          <w:szCs w:val="22"/>
          <w:lang w:val="sr-Cyrl-BA"/>
        </w:rPr>
      </w:pPr>
      <w:r w:rsidRPr="0037433A">
        <w:rPr>
          <w:rFonts w:asciiTheme="minorHAnsi" w:hAnsiTheme="minorHAnsi"/>
          <w:bCs/>
          <w:sz w:val="22"/>
          <w:szCs w:val="22"/>
          <w:lang w:val="sr-Cyrl-BA"/>
        </w:rPr>
        <w:t>jedan sertifikat za postrojenje koje koristi energiju koja se dobija iz biogasa i</w:t>
      </w:r>
    </w:p>
    <w:p w:rsidR="005A1B74" w:rsidRPr="0037433A" w:rsidRDefault="005A1B74" w:rsidP="002D1E7C">
      <w:pPr>
        <w:numPr>
          <w:ilvl w:val="0"/>
          <w:numId w:val="30"/>
        </w:numPr>
        <w:ind w:left="714" w:hanging="357"/>
        <w:jc w:val="both"/>
        <w:rPr>
          <w:rFonts w:asciiTheme="minorHAnsi" w:hAnsiTheme="minorHAnsi"/>
          <w:bCs/>
          <w:sz w:val="22"/>
          <w:szCs w:val="22"/>
          <w:lang w:val="sr-Cyrl-BA"/>
        </w:rPr>
      </w:pPr>
      <w:r w:rsidRPr="0037433A">
        <w:rPr>
          <w:rFonts w:asciiTheme="minorHAnsi" w:hAnsiTheme="minorHAnsi"/>
          <w:bCs/>
          <w:sz w:val="22"/>
          <w:szCs w:val="22"/>
          <w:lang w:val="sr-Cyrl-BA"/>
        </w:rPr>
        <w:t xml:space="preserve">375 sertifikata za postrojenja koja koriste neakumulisanu sunčevu energiju. </w:t>
      </w:r>
    </w:p>
    <w:p w:rsidR="005A1B74" w:rsidRPr="0037433A" w:rsidRDefault="005A1B74" w:rsidP="002D1E7C">
      <w:pPr>
        <w:numPr>
          <w:ilvl w:val="0"/>
          <w:numId w:val="30"/>
        </w:numPr>
        <w:ind w:left="714" w:hanging="357"/>
        <w:jc w:val="both"/>
        <w:rPr>
          <w:rFonts w:asciiTheme="minorHAnsi" w:hAnsiTheme="minorHAnsi"/>
          <w:bCs/>
          <w:sz w:val="22"/>
          <w:szCs w:val="22"/>
          <w:lang w:val="sr-Cyrl-BA"/>
        </w:rPr>
      </w:pPr>
      <w:r w:rsidRPr="0037433A">
        <w:rPr>
          <w:rFonts w:asciiTheme="minorHAnsi" w:hAnsiTheme="minorHAnsi"/>
          <w:bCs/>
          <w:sz w:val="22"/>
          <w:szCs w:val="22"/>
          <w:lang w:val="sr-Cyrl-BA"/>
        </w:rPr>
        <w:t xml:space="preserve">Regulatorna komisija je i tokom 2024. godine vodila postupke za izdavanje sertifikata za proizvodna postrojenja koja koriste obnovljive izvore energije za proizvodnju električne energije, a pregled vođenih postupaka dat je u tabeli 4. </w:t>
      </w:r>
    </w:p>
    <w:p w:rsidR="005A1B74" w:rsidRPr="0037433A" w:rsidRDefault="005A1B74" w:rsidP="002D1E7C">
      <w:pPr>
        <w:spacing w:before="120" w:after="120"/>
        <w:jc w:val="both"/>
        <w:rPr>
          <w:rFonts w:asciiTheme="minorHAnsi" w:hAnsiTheme="minorHAnsi"/>
          <w:bCs/>
          <w:sz w:val="22"/>
          <w:szCs w:val="22"/>
          <w:lang w:val="sr-Cyrl-BA"/>
        </w:rPr>
      </w:pPr>
      <w:r w:rsidRPr="0037433A">
        <w:rPr>
          <w:rFonts w:asciiTheme="minorHAnsi" w:hAnsiTheme="minorHAnsi"/>
          <w:bCs/>
          <w:sz w:val="22"/>
          <w:szCs w:val="22"/>
          <w:lang w:val="sr-Cyrl-BA"/>
        </w:rPr>
        <w:t>U toku 2024. godine, Regulatorna komisija je izdala 166 sertifikata za proizvodna postrojenja, od čega 153 nova sertifikata, jednom sertifikatu je produžen period važenja, u devet slučajeva</w:t>
      </w:r>
      <w:r w:rsidRPr="0037433A">
        <w:rPr>
          <w:rFonts w:asciiTheme="minorHAnsi" w:hAnsiTheme="minorHAnsi"/>
          <w:bCs/>
          <w:sz w:val="22"/>
          <w:szCs w:val="22"/>
          <w:lang w:val="sr-Latn-BA"/>
        </w:rPr>
        <w:t xml:space="preserve"> </w:t>
      </w:r>
      <w:r w:rsidRPr="0037433A">
        <w:rPr>
          <w:rFonts w:asciiTheme="minorHAnsi" w:hAnsiTheme="minorHAnsi"/>
          <w:bCs/>
          <w:sz w:val="22"/>
          <w:szCs w:val="22"/>
          <w:lang w:val="sr-Cyrl-BA"/>
        </w:rPr>
        <w:t xml:space="preserve">je vršena </w:t>
      </w:r>
      <w:r w:rsidRPr="0037433A">
        <w:rPr>
          <w:rFonts w:asciiTheme="minorHAnsi" w:hAnsiTheme="minorHAnsi"/>
          <w:bCs/>
          <w:sz w:val="22"/>
          <w:szCs w:val="22"/>
          <w:lang w:val="sr-Cyrl-BA"/>
        </w:rPr>
        <w:lastRenderedPageBreak/>
        <w:t>izmjena sertifikata, a tri sertifikata su prenesena na druga lica. Jedan zahtjev za izdavanje sertifikata je odbačen, a u osam slučajeva su postupci po zahtjevu za izdavanje sertifikata obustavljeni. Pregled postupaka po zahtjevima za izdavanje sertifikata u 2024. godini dat je u tabeli 4.</w:t>
      </w:r>
    </w:p>
    <w:p w:rsidR="005A1B74" w:rsidRPr="0037433A" w:rsidRDefault="005A1B74" w:rsidP="002D1E7C">
      <w:pPr>
        <w:spacing w:before="120" w:after="120"/>
        <w:jc w:val="both"/>
        <w:rPr>
          <w:rFonts w:asciiTheme="minorHAnsi" w:hAnsiTheme="minorHAnsi" w:cs="Calibri"/>
          <w:i/>
          <w:sz w:val="22"/>
          <w:szCs w:val="22"/>
          <w:lang w:val="sr-Cyrl-BA"/>
        </w:rPr>
      </w:pPr>
      <w:r w:rsidRPr="0037433A">
        <w:rPr>
          <w:rFonts w:asciiTheme="minorHAnsi" w:hAnsiTheme="minorHAnsi"/>
          <w:b/>
          <w:sz w:val="20"/>
          <w:szCs w:val="20"/>
          <w:lang w:val="sr-Cyrl-BA"/>
        </w:rPr>
        <w:t>Tabela 4</w:t>
      </w:r>
      <w:r w:rsidRPr="0037433A">
        <w:rPr>
          <w:rFonts w:asciiTheme="minorHAnsi" w:hAnsiTheme="minorHAnsi" w:cs="Calibri"/>
          <w:sz w:val="22"/>
          <w:szCs w:val="22"/>
          <w:lang w:val="sr-Cyrl-BA"/>
        </w:rPr>
        <w:t xml:space="preserve"> - </w:t>
      </w:r>
      <w:r w:rsidRPr="0037433A">
        <w:rPr>
          <w:rFonts w:asciiTheme="minorHAnsi" w:hAnsiTheme="minorHAnsi" w:cs="Calibri"/>
          <w:i/>
          <w:sz w:val="22"/>
          <w:szCs w:val="22"/>
          <w:lang w:val="sr-Cyrl-BA"/>
        </w:rPr>
        <w:t>Pregled postupaka izdavanja sertifikata za proizvodno postrojenje u 2024. godini</w:t>
      </w:r>
    </w:p>
    <w:tbl>
      <w:tblPr>
        <w:tblStyle w:val="LightGrid-Accent6"/>
        <w:tblW w:w="9488" w:type="dxa"/>
        <w:tblLayout w:type="fixed"/>
        <w:tblLook w:val="04A0" w:firstRow="1" w:lastRow="0" w:firstColumn="1" w:lastColumn="0" w:noHBand="0" w:noVBand="1"/>
      </w:tblPr>
      <w:tblGrid>
        <w:gridCol w:w="3794"/>
        <w:gridCol w:w="992"/>
        <w:gridCol w:w="1276"/>
        <w:gridCol w:w="2255"/>
        <w:gridCol w:w="1171"/>
      </w:tblGrid>
      <w:tr w:rsidR="005A1B74" w:rsidRPr="0037433A" w:rsidTr="002D1E7C">
        <w:trPr>
          <w:cnfStyle w:val="100000000000" w:firstRow="1" w:lastRow="0" w:firstColumn="0" w:lastColumn="0" w:oddVBand="0" w:evenVBand="0" w:oddHBand="0" w:evenHBand="0" w:firstRowFirstColumn="0" w:firstRowLastColumn="0" w:lastRowFirstColumn="0" w:lastRowLastColumn="0"/>
          <w:trHeight w:val="500"/>
        </w:trPr>
        <w:tc>
          <w:tcPr>
            <w:cnfStyle w:val="001000000000" w:firstRow="0" w:lastRow="0" w:firstColumn="1" w:lastColumn="0" w:oddVBand="0" w:evenVBand="0" w:oddHBand="0" w:evenHBand="0" w:firstRowFirstColumn="0" w:firstRowLastColumn="0" w:lastRowFirstColumn="0" w:lastRowLastColumn="0"/>
            <w:tcW w:w="3794" w:type="dxa"/>
            <w:vMerge w:val="restart"/>
            <w:vAlign w:val="center"/>
          </w:tcPr>
          <w:p w:rsidR="005A1B74" w:rsidRPr="0037433A" w:rsidRDefault="005A1B74" w:rsidP="002D1E7C">
            <w:pPr>
              <w:ind w:right="-232" w:hanging="225"/>
              <w:jc w:val="center"/>
              <w:rPr>
                <w:rFonts w:asciiTheme="minorHAnsi" w:eastAsia="Times New Roman" w:hAnsiTheme="minorHAnsi" w:cs="Calibri"/>
                <w:sz w:val="22"/>
                <w:szCs w:val="22"/>
                <w:lang w:val="sr-Cyrl-BA"/>
              </w:rPr>
            </w:pPr>
          </w:p>
          <w:p w:rsidR="005A1B74" w:rsidRPr="0037433A" w:rsidRDefault="005A1B74" w:rsidP="002D1E7C">
            <w:pPr>
              <w:ind w:right="-232" w:hanging="225"/>
              <w:jc w:val="center"/>
              <w:rPr>
                <w:rFonts w:asciiTheme="minorHAnsi" w:eastAsia="Times New Roman" w:hAnsiTheme="minorHAnsi" w:cs="Calibri"/>
                <w:sz w:val="22"/>
                <w:szCs w:val="22"/>
                <w:lang w:val="sr-Cyrl-BA"/>
              </w:rPr>
            </w:pPr>
          </w:p>
          <w:p w:rsidR="005A1B74" w:rsidRPr="0037433A" w:rsidRDefault="005A1B74" w:rsidP="002D1E7C">
            <w:pPr>
              <w:ind w:right="-232" w:hanging="225"/>
              <w:jc w:val="center"/>
              <w:rPr>
                <w:rFonts w:asciiTheme="minorHAnsi" w:hAnsiTheme="minorHAnsi" w:cs="Calibri"/>
                <w:b w:val="0"/>
                <w:bCs w:val="0"/>
                <w:sz w:val="22"/>
                <w:szCs w:val="22"/>
                <w:lang w:val="sr-Cyrl-BA"/>
              </w:rPr>
            </w:pPr>
            <w:r w:rsidRPr="0037433A">
              <w:rPr>
                <w:rFonts w:asciiTheme="minorHAnsi" w:hAnsiTheme="minorHAnsi" w:cs="Calibri"/>
                <w:sz w:val="22"/>
                <w:szCs w:val="22"/>
                <w:lang w:val="sr-Cyrl-BA"/>
              </w:rPr>
              <w:t>Vrsta postrojenja</w:t>
            </w:r>
          </w:p>
          <w:p w:rsidR="005A1B74" w:rsidRPr="0037433A" w:rsidRDefault="005A1B74" w:rsidP="002D1E7C">
            <w:pPr>
              <w:ind w:right="-232" w:hanging="225"/>
              <w:jc w:val="center"/>
              <w:rPr>
                <w:rFonts w:asciiTheme="minorHAnsi" w:eastAsia="Times New Roman" w:hAnsiTheme="minorHAnsi" w:cs="Calibri"/>
                <w:sz w:val="22"/>
                <w:szCs w:val="22"/>
                <w:lang w:val="sr-Cyrl-BA"/>
              </w:rPr>
            </w:pPr>
          </w:p>
        </w:tc>
        <w:tc>
          <w:tcPr>
            <w:tcW w:w="5694" w:type="dxa"/>
            <w:gridSpan w:val="4"/>
            <w:vAlign w:val="center"/>
          </w:tcPr>
          <w:p w:rsidR="005A1B74" w:rsidRPr="0037433A" w:rsidRDefault="005A1B74" w:rsidP="002D1E7C">
            <w:pPr>
              <w:ind w:left="33" w:right="34"/>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Calibri"/>
                <w:sz w:val="22"/>
                <w:szCs w:val="22"/>
                <w:lang w:val="sr-Cyrl-BA"/>
              </w:rPr>
            </w:pPr>
            <w:r w:rsidRPr="0037433A">
              <w:rPr>
                <w:rFonts w:asciiTheme="minorHAnsi" w:hAnsiTheme="minorHAnsi" w:cs="Calibri"/>
                <w:sz w:val="22"/>
                <w:szCs w:val="22"/>
                <w:lang w:val="sr-Cyrl-BA"/>
              </w:rPr>
              <w:t>Sertifikat</w:t>
            </w:r>
            <w:r w:rsidRPr="0037433A">
              <w:rPr>
                <w:rFonts w:asciiTheme="minorHAnsi" w:hAnsiTheme="minorHAnsi"/>
                <w:sz w:val="22"/>
                <w:szCs w:val="22"/>
                <w:lang w:val="sr-Cyrl-BA"/>
              </w:rPr>
              <w:t xml:space="preserve"> </w:t>
            </w:r>
            <w:r w:rsidRPr="0037433A">
              <w:rPr>
                <w:rFonts w:asciiTheme="minorHAnsi" w:hAnsiTheme="minorHAnsi" w:cs="Calibri"/>
                <w:sz w:val="22"/>
                <w:szCs w:val="22"/>
                <w:lang w:val="sr-Cyrl-BA"/>
              </w:rPr>
              <w:t>za proizvodno postrojenje</w:t>
            </w:r>
          </w:p>
        </w:tc>
      </w:tr>
      <w:tr w:rsidR="005A1B74" w:rsidRPr="0037433A" w:rsidTr="002D1E7C">
        <w:trPr>
          <w:cnfStyle w:val="000000100000" w:firstRow="0" w:lastRow="0" w:firstColumn="0" w:lastColumn="0" w:oddVBand="0" w:evenVBand="0" w:oddHBand="1" w:evenHBand="0" w:firstRowFirstColumn="0" w:firstRowLastColumn="0" w:lastRowFirstColumn="0" w:lastRowLastColumn="0"/>
          <w:trHeight w:val="394"/>
        </w:trPr>
        <w:tc>
          <w:tcPr>
            <w:cnfStyle w:val="001000000000" w:firstRow="0" w:lastRow="0" w:firstColumn="1" w:lastColumn="0" w:oddVBand="0" w:evenVBand="0" w:oddHBand="0" w:evenHBand="0" w:firstRowFirstColumn="0" w:firstRowLastColumn="0" w:lastRowFirstColumn="0" w:lastRowLastColumn="0"/>
            <w:tcW w:w="3794" w:type="dxa"/>
            <w:vMerge/>
            <w:vAlign w:val="center"/>
          </w:tcPr>
          <w:p w:rsidR="005A1B74" w:rsidRPr="0037433A" w:rsidRDefault="005A1B74" w:rsidP="002D1E7C">
            <w:pPr>
              <w:ind w:right="-232" w:hanging="225"/>
              <w:jc w:val="center"/>
              <w:rPr>
                <w:rFonts w:asciiTheme="minorHAnsi" w:eastAsia="Times New Roman" w:hAnsiTheme="minorHAnsi" w:cs="Calibri"/>
                <w:sz w:val="22"/>
                <w:szCs w:val="22"/>
                <w:lang w:val="sr-Cyrl-BA"/>
              </w:rPr>
            </w:pPr>
          </w:p>
        </w:tc>
        <w:tc>
          <w:tcPr>
            <w:tcW w:w="992" w:type="dxa"/>
            <w:shd w:val="clear" w:color="auto" w:fill="auto"/>
            <w:vAlign w:val="center"/>
          </w:tcPr>
          <w:p w:rsidR="005A1B74" w:rsidRPr="0037433A" w:rsidRDefault="005A1B74" w:rsidP="002D1E7C">
            <w:pPr>
              <w:ind w:right="-232" w:hanging="225"/>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Calibri"/>
                <w:sz w:val="22"/>
                <w:szCs w:val="22"/>
                <w:lang w:val="sr-Cyrl-BA"/>
              </w:rPr>
            </w:pPr>
            <w:r w:rsidRPr="0037433A">
              <w:rPr>
                <w:rFonts w:asciiTheme="minorHAnsi" w:hAnsiTheme="minorHAnsi" w:cs="Calibri"/>
                <w:sz w:val="22"/>
                <w:szCs w:val="22"/>
                <w:lang w:val="sr-Cyrl-BA"/>
              </w:rPr>
              <w:t>Izdati</w:t>
            </w:r>
          </w:p>
        </w:tc>
        <w:tc>
          <w:tcPr>
            <w:tcW w:w="1276" w:type="dxa"/>
            <w:shd w:val="clear" w:color="auto" w:fill="auto"/>
            <w:vAlign w:val="center"/>
          </w:tcPr>
          <w:p w:rsidR="005A1B74" w:rsidRPr="0037433A" w:rsidRDefault="005A1B74" w:rsidP="002D1E7C">
            <w:pPr>
              <w:ind w:right="-232" w:hanging="225"/>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Calibri"/>
                <w:sz w:val="22"/>
                <w:szCs w:val="22"/>
                <w:lang w:val="sr-Cyrl-BA"/>
              </w:rPr>
            </w:pPr>
            <w:r w:rsidRPr="0037433A">
              <w:rPr>
                <w:rFonts w:asciiTheme="minorHAnsi" w:hAnsiTheme="minorHAnsi" w:cs="Calibri"/>
                <w:sz w:val="22"/>
                <w:szCs w:val="22"/>
                <w:lang w:val="sr-Cyrl-BA"/>
              </w:rPr>
              <w:t>Odbačeni</w:t>
            </w:r>
          </w:p>
        </w:tc>
        <w:tc>
          <w:tcPr>
            <w:tcW w:w="2255" w:type="dxa"/>
            <w:shd w:val="clear" w:color="auto" w:fill="auto"/>
            <w:vAlign w:val="center"/>
          </w:tcPr>
          <w:p w:rsidR="005A1B74" w:rsidRPr="0037433A" w:rsidRDefault="005A1B74" w:rsidP="002D1E7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Calibri"/>
                <w:sz w:val="22"/>
                <w:szCs w:val="22"/>
                <w:lang w:val="sr-Cyrl-BA"/>
              </w:rPr>
            </w:pPr>
            <w:r w:rsidRPr="0037433A">
              <w:rPr>
                <w:rFonts w:asciiTheme="minorHAnsi" w:hAnsiTheme="minorHAnsi" w:cs="Calibri"/>
                <w:sz w:val="22"/>
                <w:szCs w:val="22"/>
                <w:lang w:val="sr-Cyrl-BA"/>
              </w:rPr>
              <w:t>Postupci u toku</w:t>
            </w:r>
          </w:p>
          <w:p w:rsidR="005A1B74" w:rsidRPr="0037433A" w:rsidRDefault="005A1B74" w:rsidP="002D1E7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Calibri"/>
                <w:sz w:val="22"/>
                <w:szCs w:val="22"/>
                <w:lang w:val="sr-Cyrl-BA"/>
              </w:rPr>
            </w:pPr>
            <w:r w:rsidRPr="0037433A">
              <w:rPr>
                <w:rFonts w:asciiTheme="minorHAnsi" w:hAnsiTheme="minorHAnsi" w:cs="Calibri"/>
                <w:sz w:val="22"/>
                <w:szCs w:val="22"/>
                <w:lang w:val="sr-Cyrl-BA"/>
              </w:rPr>
              <w:t>(nastavljeni u 2024.)</w:t>
            </w:r>
          </w:p>
        </w:tc>
        <w:tc>
          <w:tcPr>
            <w:tcW w:w="1171" w:type="dxa"/>
            <w:shd w:val="clear" w:color="auto" w:fill="auto"/>
            <w:vAlign w:val="center"/>
          </w:tcPr>
          <w:p w:rsidR="005A1B74" w:rsidRPr="0037433A" w:rsidRDefault="005A1B74" w:rsidP="002D1E7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Calibri"/>
                <w:sz w:val="22"/>
                <w:szCs w:val="22"/>
                <w:lang w:val="sr-Cyrl-BA"/>
              </w:rPr>
            </w:pPr>
            <w:r w:rsidRPr="0037433A">
              <w:rPr>
                <w:rFonts w:asciiTheme="minorHAnsi" w:hAnsiTheme="minorHAnsi" w:cs="Calibri"/>
                <w:sz w:val="22"/>
                <w:szCs w:val="22"/>
                <w:lang w:val="sr-Cyrl-BA"/>
              </w:rPr>
              <w:t>Napomena</w:t>
            </w:r>
          </w:p>
        </w:tc>
      </w:tr>
      <w:tr w:rsidR="005A1B74" w:rsidRPr="0037433A" w:rsidTr="002D1E7C">
        <w:trPr>
          <w:cnfStyle w:val="000000010000" w:firstRow="0" w:lastRow="0" w:firstColumn="0" w:lastColumn="0" w:oddVBand="0" w:evenVBand="0" w:oddHBand="0" w:evenHBand="1" w:firstRowFirstColumn="0" w:firstRowLastColumn="0" w:lastRowFirstColumn="0" w:lastRowLastColumn="0"/>
          <w:trHeight w:val="416"/>
        </w:trPr>
        <w:tc>
          <w:tcPr>
            <w:cnfStyle w:val="001000000000" w:firstRow="0" w:lastRow="0" w:firstColumn="1" w:lastColumn="0" w:oddVBand="0" w:evenVBand="0" w:oddHBand="0" w:evenHBand="0" w:firstRowFirstColumn="0" w:firstRowLastColumn="0" w:lastRowFirstColumn="0" w:lastRowLastColumn="0"/>
            <w:tcW w:w="3794" w:type="dxa"/>
            <w:shd w:val="clear" w:color="auto" w:fill="BDD6EE" w:themeFill="accent1" w:themeFillTint="66"/>
            <w:vAlign w:val="center"/>
          </w:tcPr>
          <w:p w:rsidR="005A1B74" w:rsidRPr="0037433A" w:rsidRDefault="005A1B74" w:rsidP="002D1E7C">
            <w:pPr>
              <w:ind w:left="33" w:right="34"/>
              <w:jc w:val="center"/>
              <w:rPr>
                <w:rFonts w:asciiTheme="minorHAnsi" w:eastAsia="Times New Roman" w:hAnsiTheme="minorHAnsi" w:cs="Calibri"/>
                <w:b w:val="0"/>
                <w:sz w:val="22"/>
                <w:szCs w:val="22"/>
                <w:lang w:val="sr-Cyrl-BA"/>
              </w:rPr>
            </w:pPr>
            <w:r w:rsidRPr="0037433A">
              <w:rPr>
                <w:rFonts w:asciiTheme="minorHAnsi" w:hAnsiTheme="minorHAnsi" w:cs="Calibri"/>
                <w:sz w:val="22"/>
                <w:szCs w:val="22"/>
                <w:lang w:val="sr-Cyrl-BA"/>
              </w:rPr>
              <w:t>Postrojenja koja koriste energetski potencijal vode</w:t>
            </w:r>
          </w:p>
        </w:tc>
        <w:tc>
          <w:tcPr>
            <w:tcW w:w="992" w:type="dxa"/>
            <w:shd w:val="clear" w:color="auto" w:fill="BDD6EE" w:themeFill="accent1" w:themeFillTint="66"/>
            <w:vAlign w:val="center"/>
          </w:tcPr>
          <w:p w:rsidR="005A1B74" w:rsidRPr="0037433A" w:rsidRDefault="005A1B74" w:rsidP="002D1E7C">
            <w:pPr>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Calibri"/>
                <w:sz w:val="22"/>
                <w:szCs w:val="22"/>
                <w:lang w:val="sr-Cyrl-BA"/>
              </w:rPr>
            </w:pPr>
            <w:r w:rsidRPr="0037433A">
              <w:rPr>
                <w:rFonts w:asciiTheme="minorHAnsi" w:hAnsiTheme="minorHAnsi" w:cs="Calibri"/>
                <w:sz w:val="22"/>
                <w:szCs w:val="22"/>
                <w:lang w:val="sr-Cyrl-BA"/>
              </w:rPr>
              <w:t>4</w:t>
            </w:r>
          </w:p>
        </w:tc>
        <w:tc>
          <w:tcPr>
            <w:tcW w:w="1276" w:type="dxa"/>
            <w:shd w:val="clear" w:color="auto" w:fill="BDD6EE" w:themeFill="accent1" w:themeFillTint="66"/>
            <w:vAlign w:val="center"/>
          </w:tcPr>
          <w:p w:rsidR="005A1B74" w:rsidRPr="0037433A" w:rsidRDefault="005A1B74" w:rsidP="002D1E7C">
            <w:pPr>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Calibri"/>
                <w:sz w:val="22"/>
                <w:szCs w:val="22"/>
                <w:lang w:val="sr-Cyrl-BA"/>
              </w:rPr>
            </w:pPr>
            <w:r w:rsidRPr="0037433A">
              <w:rPr>
                <w:rFonts w:asciiTheme="minorHAnsi" w:hAnsiTheme="minorHAnsi" w:cs="Calibri"/>
                <w:sz w:val="22"/>
                <w:szCs w:val="22"/>
                <w:lang w:val="sr-Cyrl-BA"/>
              </w:rPr>
              <w:t>1</w:t>
            </w:r>
          </w:p>
        </w:tc>
        <w:tc>
          <w:tcPr>
            <w:tcW w:w="2255" w:type="dxa"/>
            <w:shd w:val="clear" w:color="auto" w:fill="BDD6EE" w:themeFill="accent1" w:themeFillTint="66"/>
            <w:vAlign w:val="center"/>
          </w:tcPr>
          <w:p w:rsidR="005A1B74" w:rsidRPr="0037433A" w:rsidRDefault="005A1B74" w:rsidP="002D1E7C">
            <w:pPr>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Calibri"/>
                <w:sz w:val="22"/>
                <w:szCs w:val="22"/>
                <w:lang w:val="sr-Cyrl-BA"/>
              </w:rPr>
            </w:pPr>
            <w:r w:rsidRPr="0037433A">
              <w:rPr>
                <w:rFonts w:asciiTheme="minorHAnsi" w:hAnsiTheme="minorHAnsi" w:cs="Calibri"/>
                <w:sz w:val="22"/>
                <w:szCs w:val="22"/>
                <w:lang w:val="sr-Cyrl-BA"/>
              </w:rPr>
              <w:t>0</w:t>
            </w:r>
          </w:p>
        </w:tc>
        <w:tc>
          <w:tcPr>
            <w:tcW w:w="1171" w:type="dxa"/>
            <w:shd w:val="clear" w:color="auto" w:fill="BDD6EE" w:themeFill="accent1" w:themeFillTint="66"/>
            <w:vAlign w:val="center"/>
          </w:tcPr>
          <w:p w:rsidR="005A1B74" w:rsidRPr="0037433A" w:rsidRDefault="005A1B74" w:rsidP="002D1E7C">
            <w:pPr>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Calibri"/>
                <w:sz w:val="22"/>
                <w:szCs w:val="22"/>
                <w:lang w:val="sr-Cyrl-BA"/>
              </w:rPr>
            </w:pPr>
          </w:p>
        </w:tc>
      </w:tr>
      <w:tr w:rsidR="005A1B74" w:rsidRPr="0037433A" w:rsidTr="002D1E7C">
        <w:trPr>
          <w:cnfStyle w:val="000000100000" w:firstRow="0" w:lastRow="0" w:firstColumn="0" w:lastColumn="0" w:oddVBand="0" w:evenVBand="0" w:oddHBand="1" w:evenHBand="0" w:firstRowFirstColumn="0" w:firstRowLastColumn="0" w:lastRowFirstColumn="0" w:lastRowLastColumn="0"/>
          <w:trHeight w:val="416"/>
        </w:trPr>
        <w:tc>
          <w:tcPr>
            <w:cnfStyle w:val="001000000000" w:firstRow="0" w:lastRow="0" w:firstColumn="1" w:lastColumn="0" w:oddVBand="0" w:evenVBand="0" w:oddHBand="0" w:evenHBand="0" w:firstRowFirstColumn="0" w:firstRowLastColumn="0" w:lastRowFirstColumn="0" w:lastRowLastColumn="0"/>
            <w:tcW w:w="3794" w:type="dxa"/>
            <w:shd w:val="clear" w:color="auto" w:fill="FFFF00"/>
            <w:vAlign w:val="center"/>
          </w:tcPr>
          <w:p w:rsidR="005A1B74" w:rsidRPr="0037433A" w:rsidRDefault="005A1B74" w:rsidP="002D1E7C">
            <w:pPr>
              <w:ind w:left="33" w:right="34"/>
              <w:jc w:val="center"/>
              <w:rPr>
                <w:rFonts w:asciiTheme="minorHAnsi" w:eastAsia="Times New Roman" w:hAnsiTheme="minorHAnsi" w:cs="Calibri"/>
                <w:b w:val="0"/>
                <w:sz w:val="22"/>
                <w:szCs w:val="22"/>
                <w:lang w:val="sr-Cyrl-BA"/>
              </w:rPr>
            </w:pPr>
            <w:r w:rsidRPr="0037433A">
              <w:rPr>
                <w:rFonts w:asciiTheme="minorHAnsi" w:hAnsiTheme="minorHAnsi" w:cs="Calibri"/>
                <w:sz w:val="22"/>
                <w:szCs w:val="22"/>
                <w:lang w:val="sr-Cyrl-BA"/>
              </w:rPr>
              <w:t>Postrojenja koja koriste neakumulisanu sunčevu energiju</w:t>
            </w:r>
          </w:p>
        </w:tc>
        <w:tc>
          <w:tcPr>
            <w:tcW w:w="992" w:type="dxa"/>
            <w:shd w:val="clear" w:color="auto" w:fill="FFFF00"/>
            <w:vAlign w:val="center"/>
          </w:tcPr>
          <w:p w:rsidR="005A1B74" w:rsidRPr="0037433A" w:rsidRDefault="005A1B74" w:rsidP="002D1E7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Calibri"/>
                <w:sz w:val="22"/>
                <w:szCs w:val="22"/>
                <w:lang w:val="sr-Cyrl-BA"/>
              </w:rPr>
            </w:pPr>
            <w:r w:rsidRPr="0037433A">
              <w:rPr>
                <w:rFonts w:asciiTheme="minorHAnsi" w:hAnsiTheme="minorHAnsi" w:cs="Calibri"/>
                <w:sz w:val="22"/>
                <w:szCs w:val="22"/>
                <w:lang w:val="sr-Cyrl-BA"/>
              </w:rPr>
              <w:t>161</w:t>
            </w:r>
          </w:p>
        </w:tc>
        <w:tc>
          <w:tcPr>
            <w:tcW w:w="1276" w:type="dxa"/>
            <w:shd w:val="clear" w:color="auto" w:fill="FFFF00"/>
            <w:vAlign w:val="center"/>
          </w:tcPr>
          <w:p w:rsidR="005A1B74" w:rsidRPr="0037433A" w:rsidRDefault="005A1B74" w:rsidP="002D1E7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Calibri"/>
                <w:sz w:val="22"/>
                <w:szCs w:val="22"/>
                <w:lang w:val="sr-Cyrl-BA"/>
              </w:rPr>
            </w:pPr>
            <w:r w:rsidRPr="0037433A">
              <w:rPr>
                <w:rFonts w:asciiTheme="minorHAnsi" w:hAnsiTheme="minorHAnsi" w:cs="Calibri"/>
                <w:sz w:val="22"/>
                <w:szCs w:val="22"/>
                <w:lang w:val="sr-Cyrl-BA"/>
              </w:rPr>
              <w:t>-</w:t>
            </w:r>
          </w:p>
        </w:tc>
        <w:tc>
          <w:tcPr>
            <w:tcW w:w="2255" w:type="dxa"/>
            <w:shd w:val="clear" w:color="auto" w:fill="FFFF00"/>
            <w:vAlign w:val="center"/>
          </w:tcPr>
          <w:p w:rsidR="005A1B74" w:rsidRPr="0037433A" w:rsidRDefault="005A1B74" w:rsidP="002D1E7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Calibri"/>
                <w:sz w:val="22"/>
                <w:szCs w:val="22"/>
                <w:lang w:val="sr-Cyrl-BA"/>
              </w:rPr>
            </w:pPr>
            <w:r w:rsidRPr="0037433A">
              <w:rPr>
                <w:rFonts w:asciiTheme="minorHAnsi" w:hAnsiTheme="minorHAnsi" w:cs="Calibri"/>
                <w:sz w:val="22"/>
                <w:szCs w:val="22"/>
                <w:lang w:val="sr-Cyrl-BA"/>
              </w:rPr>
              <w:t>70</w:t>
            </w:r>
          </w:p>
        </w:tc>
        <w:tc>
          <w:tcPr>
            <w:tcW w:w="1171" w:type="dxa"/>
            <w:shd w:val="clear" w:color="auto" w:fill="FFFF00"/>
            <w:vAlign w:val="center"/>
          </w:tcPr>
          <w:p w:rsidR="005A1B74" w:rsidRPr="0037433A" w:rsidRDefault="005A1B74" w:rsidP="002D1E7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Calibri"/>
                <w:sz w:val="22"/>
                <w:szCs w:val="22"/>
                <w:lang w:val="sr-Cyrl-BA"/>
              </w:rPr>
            </w:pPr>
          </w:p>
        </w:tc>
      </w:tr>
      <w:tr w:rsidR="005A1B74" w:rsidRPr="0037433A" w:rsidTr="002D1E7C">
        <w:trPr>
          <w:cnfStyle w:val="000000010000" w:firstRow="0" w:lastRow="0" w:firstColumn="0" w:lastColumn="0" w:oddVBand="0" w:evenVBand="0" w:oddHBand="0" w:evenHBand="1"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3794" w:type="dxa"/>
            <w:shd w:val="clear" w:color="auto" w:fill="A8D08D" w:themeFill="accent6" w:themeFillTint="99"/>
            <w:vAlign w:val="center"/>
          </w:tcPr>
          <w:p w:rsidR="005A1B74" w:rsidRPr="0037433A" w:rsidRDefault="005A1B74" w:rsidP="002D1E7C">
            <w:pPr>
              <w:ind w:left="33" w:right="34"/>
              <w:jc w:val="center"/>
              <w:rPr>
                <w:rFonts w:asciiTheme="minorHAnsi" w:hAnsiTheme="minorHAnsi" w:cs="Calibri"/>
                <w:b w:val="0"/>
                <w:sz w:val="22"/>
                <w:szCs w:val="22"/>
                <w:lang w:val="sr-Cyrl-BA"/>
              </w:rPr>
            </w:pPr>
            <w:r w:rsidRPr="0037433A">
              <w:rPr>
                <w:rFonts w:asciiTheme="minorHAnsi" w:hAnsiTheme="minorHAnsi" w:cs="Calibri"/>
                <w:sz w:val="22"/>
                <w:szCs w:val="22"/>
                <w:lang w:val="sr-Cyrl-BA"/>
              </w:rPr>
              <w:t>Postrojenja koja koriste energiju koja se dobija iz biomase</w:t>
            </w:r>
          </w:p>
        </w:tc>
        <w:tc>
          <w:tcPr>
            <w:tcW w:w="992" w:type="dxa"/>
            <w:shd w:val="clear" w:color="auto" w:fill="A8D08D" w:themeFill="accent6" w:themeFillTint="99"/>
            <w:vAlign w:val="center"/>
          </w:tcPr>
          <w:p w:rsidR="005A1B74" w:rsidRPr="0037433A" w:rsidRDefault="005A1B74" w:rsidP="002D1E7C">
            <w:pPr>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Calibri"/>
                <w:sz w:val="22"/>
                <w:szCs w:val="22"/>
                <w:lang w:val="sr-Cyrl-BA"/>
              </w:rPr>
            </w:pPr>
            <w:r w:rsidRPr="0037433A">
              <w:rPr>
                <w:rFonts w:asciiTheme="minorHAnsi" w:hAnsiTheme="minorHAnsi" w:cs="Calibri"/>
                <w:sz w:val="22"/>
                <w:szCs w:val="22"/>
                <w:lang w:val="sr-Cyrl-BA"/>
              </w:rPr>
              <w:t>1</w:t>
            </w:r>
          </w:p>
        </w:tc>
        <w:tc>
          <w:tcPr>
            <w:tcW w:w="1276" w:type="dxa"/>
            <w:shd w:val="clear" w:color="auto" w:fill="A8D08D" w:themeFill="accent6" w:themeFillTint="99"/>
            <w:vAlign w:val="center"/>
          </w:tcPr>
          <w:p w:rsidR="005A1B74" w:rsidRPr="0037433A" w:rsidRDefault="005A1B74" w:rsidP="002D1E7C">
            <w:pPr>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Calibri"/>
                <w:sz w:val="22"/>
                <w:szCs w:val="22"/>
                <w:lang w:val="sr-Cyrl-BA"/>
              </w:rPr>
            </w:pPr>
            <w:r w:rsidRPr="0037433A">
              <w:rPr>
                <w:rFonts w:asciiTheme="minorHAnsi" w:hAnsiTheme="minorHAnsi" w:cs="Calibri"/>
                <w:sz w:val="22"/>
                <w:szCs w:val="22"/>
                <w:lang w:val="sr-Cyrl-BA"/>
              </w:rPr>
              <w:t>-</w:t>
            </w:r>
          </w:p>
        </w:tc>
        <w:tc>
          <w:tcPr>
            <w:tcW w:w="2255" w:type="dxa"/>
            <w:shd w:val="clear" w:color="auto" w:fill="A8D08D" w:themeFill="accent6" w:themeFillTint="99"/>
            <w:vAlign w:val="center"/>
          </w:tcPr>
          <w:p w:rsidR="005A1B74" w:rsidRPr="0037433A" w:rsidRDefault="005A1B74" w:rsidP="002D1E7C">
            <w:pPr>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Calibri"/>
                <w:sz w:val="22"/>
                <w:szCs w:val="22"/>
                <w:lang w:val="sr-Cyrl-BA"/>
              </w:rPr>
            </w:pPr>
            <w:r w:rsidRPr="0037433A">
              <w:rPr>
                <w:rFonts w:asciiTheme="minorHAnsi" w:hAnsiTheme="minorHAnsi" w:cs="Calibri"/>
                <w:sz w:val="22"/>
                <w:szCs w:val="22"/>
                <w:lang w:val="sr-Cyrl-BA"/>
              </w:rPr>
              <w:t>-</w:t>
            </w:r>
          </w:p>
        </w:tc>
        <w:tc>
          <w:tcPr>
            <w:tcW w:w="1171" w:type="dxa"/>
            <w:shd w:val="clear" w:color="auto" w:fill="A8D08D" w:themeFill="accent6" w:themeFillTint="99"/>
            <w:vAlign w:val="center"/>
          </w:tcPr>
          <w:p w:rsidR="005A1B74" w:rsidRPr="0037433A" w:rsidRDefault="005A1B74" w:rsidP="002D1E7C">
            <w:pPr>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Calibri"/>
                <w:sz w:val="22"/>
                <w:szCs w:val="22"/>
                <w:lang w:val="sr-Cyrl-BA"/>
              </w:rPr>
            </w:pPr>
          </w:p>
        </w:tc>
      </w:tr>
      <w:tr w:rsidR="005A1B74" w:rsidRPr="0037433A" w:rsidTr="002D1E7C">
        <w:trPr>
          <w:cnfStyle w:val="000000100000" w:firstRow="0" w:lastRow="0" w:firstColumn="0" w:lastColumn="0" w:oddVBand="0" w:evenVBand="0" w:oddHBand="1"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3794" w:type="dxa"/>
            <w:shd w:val="clear" w:color="auto" w:fill="E2EFD9" w:themeFill="accent6" w:themeFillTint="33"/>
            <w:vAlign w:val="center"/>
          </w:tcPr>
          <w:p w:rsidR="005A1B74" w:rsidRPr="0037433A" w:rsidRDefault="005A1B74" w:rsidP="002D1E7C">
            <w:pPr>
              <w:ind w:left="33" w:right="34"/>
              <w:jc w:val="center"/>
              <w:rPr>
                <w:rFonts w:asciiTheme="minorHAnsi" w:eastAsia="Times New Roman" w:hAnsiTheme="minorHAnsi" w:cs="Calibri"/>
                <w:b w:val="0"/>
                <w:sz w:val="22"/>
                <w:szCs w:val="22"/>
                <w:lang w:val="sr-Cyrl-BA"/>
              </w:rPr>
            </w:pPr>
            <w:r w:rsidRPr="0037433A">
              <w:rPr>
                <w:rFonts w:asciiTheme="minorHAnsi" w:hAnsiTheme="minorHAnsi" w:cs="Calibri"/>
                <w:sz w:val="22"/>
                <w:szCs w:val="22"/>
                <w:lang w:val="sr-Cyrl-BA"/>
              </w:rPr>
              <w:t>Postrojenja koja koriste energiju koja se dobija iz biogasa</w:t>
            </w:r>
          </w:p>
        </w:tc>
        <w:tc>
          <w:tcPr>
            <w:tcW w:w="992" w:type="dxa"/>
            <w:shd w:val="clear" w:color="auto" w:fill="FFF2CC" w:themeFill="accent4" w:themeFillTint="33"/>
            <w:vAlign w:val="center"/>
          </w:tcPr>
          <w:p w:rsidR="005A1B74" w:rsidRPr="0037433A" w:rsidRDefault="005A1B74" w:rsidP="002D1E7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Calibri"/>
                <w:sz w:val="22"/>
                <w:szCs w:val="22"/>
                <w:lang w:val="sr-Cyrl-BA"/>
              </w:rPr>
            </w:pPr>
            <w:r w:rsidRPr="0037433A">
              <w:rPr>
                <w:rFonts w:asciiTheme="minorHAnsi" w:hAnsiTheme="minorHAnsi" w:cs="Calibri"/>
                <w:sz w:val="22"/>
                <w:szCs w:val="22"/>
                <w:lang w:val="sr-Cyrl-BA"/>
              </w:rPr>
              <w:t>0</w:t>
            </w:r>
          </w:p>
        </w:tc>
        <w:tc>
          <w:tcPr>
            <w:tcW w:w="1276" w:type="dxa"/>
            <w:shd w:val="clear" w:color="auto" w:fill="FFF2CC" w:themeFill="accent4" w:themeFillTint="33"/>
            <w:vAlign w:val="center"/>
          </w:tcPr>
          <w:p w:rsidR="005A1B74" w:rsidRPr="0037433A" w:rsidRDefault="005A1B74" w:rsidP="002D1E7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Calibri"/>
                <w:sz w:val="22"/>
                <w:szCs w:val="22"/>
                <w:lang w:val="sr-Cyrl-BA"/>
              </w:rPr>
            </w:pPr>
            <w:r w:rsidRPr="0037433A">
              <w:rPr>
                <w:rFonts w:asciiTheme="minorHAnsi" w:hAnsiTheme="minorHAnsi" w:cs="Calibri"/>
                <w:sz w:val="22"/>
                <w:szCs w:val="22"/>
                <w:lang w:val="sr-Cyrl-BA"/>
              </w:rPr>
              <w:t>-</w:t>
            </w:r>
          </w:p>
        </w:tc>
        <w:tc>
          <w:tcPr>
            <w:tcW w:w="2255" w:type="dxa"/>
            <w:shd w:val="clear" w:color="auto" w:fill="FFF2CC" w:themeFill="accent4" w:themeFillTint="33"/>
            <w:vAlign w:val="center"/>
          </w:tcPr>
          <w:p w:rsidR="005A1B74" w:rsidRPr="0037433A" w:rsidDel="007E129B" w:rsidRDefault="005A1B74" w:rsidP="002D1E7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Calibri"/>
                <w:sz w:val="22"/>
                <w:szCs w:val="22"/>
                <w:lang w:val="sr-Cyrl-BA"/>
              </w:rPr>
            </w:pPr>
            <w:r w:rsidRPr="0037433A">
              <w:rPr>
                <w:rFonts w:asciiTheme="minorHAnsi" w:hAnsiTheme="minorHAnsi" w:cs="Calibri"/>
                <w:sz w:val="22"/>
                <w:szCs w:val="22"/>
                <w:lang w:val="sr-Cyrl-BA"/>
              </w:rPr>
              <w:t>-</w:t>
            </w:r>
          </w:p>
        </w:tc>
        <w:tc>
          <w:tcPr>
            <w:tcW w:w="1171" w:type="dxa"/>
            <w:shd w:val="clear" w:color="auto" w:fill="E2EFD9" w:themeFill="accent6" w:themeFillTint="33"/>
            <w:vAlign w:val="center"/>
          </w:tcPr>
          <w:p w:rsidR="005A1B74" w:rsidRPr="0037433A" w:rsidRDefault="005A1B74" w:rsidP="002D1E7C">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Calibri"/>
                <w:sz w:val="22"/>
                <w:szCs w:val="22"/>
                <w:lang w:val="sr-Cyrl-BA"/>
              </w:rPr>
            </w:pPr>
          </w:p>
        </w:tc>
      </w:tr>
      <w:tr w:rsidR="005A1B74" w:rsidRPr="0037433A" w:rsidTr="002D1E7C">
        <w:trPr>
          <w:cnfStyle w:val="000000010000" w:firstRow="0" w:lastRow="0" w:firstColumn="0" w:lastColumn="0" w:oddVBand="0" w:evenVBand="0" w:oddHBand="0" w:evenHBand="1" w:firstRowFirstColumn="0" w:firstRowLastColumn="0" w:lastRowFirstColumn="0" w:lastRowLastColumn="0"/>
          <w:trHeight w:val="469"/>
        </w:trPr>
        <w:tc>
          <w:tcPr>
            <w:cnfStyle w:val="001000000000" w:firstRow="0" w:lastRow="0" w:firstColumn="1" w:lastColumn="0" w:oddVBand="0" w:evenVBand="0" w:oddHBand="0" w:evenHBand="0" w:firstRowFirstColumn="0" w:firstRowLastColumn="0" w:lastRowFirstColumn="0" w:lastRowLastColumn="0"/>
            <w:tcW w:w="3794" w:type="dxa"/>
            <w:shd w:val="clear" w:color="auto" w:fill="auto"/>
            <w:vAlign w:val="center"/>
          </w:tcPr>
          <w:p w:rsidR="005A1B74" w:rsidRPr="0037433A" w:rsidRDefault="005A1B74" w:rsidP="002D1E7C">
            <w:pPr>
              <w:ind w:left="33" w:right="34"/>
              <w:jc w:val="center"/>
              <w:rPr>
                <w:rFonts w:asciiTheme="minorHAnsi" w:eastAsia="Times New Roman" w:hAnsiTheme="minorHAnsi" w:cs="Calibri"/>
                <w:b w:val="0"/>
                <w:sz w:val="22"/>
                <w:szCs w:val="22"/>
                <w:lang w:val="sr-Cyrl-BA"/>
              </w:rPr>
            </w:pPr>
            <w:r w:rsidRPr="0037433A">
              <w:rPr>
                <w:rFonts w:asciiTheme="minorHAnsi" w:hAnsiTheme="minorHAnsi" w:cs="Calibri"/>
                <w:sz w:val="22"/>
                <w:szCs w:val="22"/>
                <w:lang w:val="sr-Cyrl-BA"/>
              </w:rPr>
              <w:t>Ukupno</w:t>
            </w:r>
          </w:p>
        </w:tc>
        <w:tc>
          <w:tcPr>
            <w:tcW w:w="992" w:type="dxa"/>
            <w:shd w:val="clear" w:color="auto" w:fill="auto"/>
            <w:vAlign w:val="center"/>
          </w:tcPr>
          <w:p w:rsidR="005A1B74" w:rsidRPr="0037433A" w:rsidRDefault="005A1B74" w:rsidP="002D1E7C">
            <w:pPr>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Calibri"/>
                <w:b/>
                <w:sz w:val="22"/>
                <w:szCs w:val="22"/>
                <w:lang w:val="sr-Cyrl-BA"/>
              </w:rPr>
            </w:pPr>
            <w:r w:rsidRPr="0037433A">
              <w:rPr>
                <w:rFonts w:asciiTheme="minorHAnsi" w:hAnsiTheme="minorHAnsi" w:cs="Calibri"/>
                <w:b/>
                <w:sz w:val="22"/>
                <w:szCs w:val="22"/>
                <w:lang w:val="sr-Cyrl-BA"/>
              </w:rPr>
              <w:t>166</w:t>
            </w:r>
          </w:p>
        </w:tc>
        <w:tc>
          <w:tcPr>
            <w:tcW w:w="1276" w:type="dxa"/>
            <w:shd w:val="clear" w:color="auto" w:fill="auto"/>
            <w:vAlign w:val="center"/>
          </w:tcPr>
          <w:p w:rsidR="005A1B74" w:rsidRPr="0037433A" w:rsidRDefault="005A1B74" w:rsidP="002D1E7C">
            <w:pPr>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Calibri"/>
                <w:b/>
                <w:sz w:val="22"/>
                <w:szCs w:val="22"/>
                <w:lang w:val="sr-Cyrl-BA"/>
              </w:rPr>
            </w:pPr>
            <w:r w:rsidRPr="0037433A">
              <w:rPr>
                <w:rFonts w:asciiTheme="minorHAnsi" w:hAnsiTheme="minorHAnsi" w:cs="Calibri"/>
                <w:b/>
                <w:sz w:val="22"/>
                <w:szCs w:val="22"/>
                <w:lang w:val="sr-Latn-BA"/>
              </w:rPr>
              <w:t>1</w:t>
            </w:r>
          </w:p>
        </w:tc>
        <w:tc>
          <w:tcPr>
            <w:tcW w:w="2255" w:type="dxa"/>
            <w:shd w:val="clear" w:color="auto" w:fill="auto"/>
            <w:vAlign w:val="center"/>
          </w:tcPr>
          <w:p w:rsidR="005A1B74" w:rsidRPr="0037433A" w:rsidRDefault="005A1B74" w:rsidP="002D1E7C">
            <w:pPr>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Calibri"/>
                <w:b/>
                <w:sz w:val="22"/>
                <w:szCs w:val="22"/>
                <w:lang w:val="sr-Cyrl-BA"/>
              </w:rPr>
            </w:pPr>
            <w:r w:rsidRPr="0037433A">
              <w:rPr>
                <w:rFonts w:asciiTheme="minorHAnsi" w:hAnsiTheme="minorHAnsi" w:cs="Calibri"/>
                <w:b/>
                <w:sz w:val="22"/>
                <w:szCs w:val="22"/>
                <w:lang w:val="sr-Cyrl-BA"/>
              </w:rPr>
              <w:t>70</w:t>
            </w:r>
          </w:p>
        </w:tc>
        <w:tc>
          <w:tcPr>
            <w:tcW w:w="1171" w:type="dxa"/>
            <w:shd w:val="clear" w:color="auto" w:fill="auto"/>
            <w:vAlign w:val="center"/>
          </w:tcPr>
          <w:p w:rsidR="005A1B74" w:rsidRPr="0037433A" w:rsidRDefault="005A1B74" w:rsidP="002D1E7C">
            <w:pPr>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Calibri"/>
                <w:sz w:val="22"/>
                <w:szCs w:val="22"/>
                <w:lang w:val="sr-Cyrl-BA"/>
              </w:rPr>
            </w:pPr>
          </w:p>
        </w:tc>
      </w:tr>
    </w:tbl>
    <w:p w:rsidR="005A1B74" w:rsidRPr="00281D1F" w:rsidRDefault="005A1B74" w:rsidP="002D1E7C">
      <w:pPr>
        <w:spacing w:before="120"/>
        <w:jc w:val="both"/>
        <w:rPr>
          <w:rFonts w:asciiTheme="minorHAnsi" w:hAnsiTheme="minorHAnsi" w:cs="Calibri"/>
          <w:sz w:val="22"/>
          <w:szCs w:val="22"/>
          <w:lang w:val="sr-Cyrl-BA"/>
        </w:rPr>
      </w:pPr>
      <w:r w:rsidRPr="0037433A">
        <w:rPr>
          <w:rFonts w:asciiTheme="minorHAnsi" w:hAnsiTheme="minorHAnsi" w:cs="Calibri"/>
          <w:sz w:val="22"/>
          <w:szCs w:val="22"/>
          <w:lang w:val="sr-Cyrl-BA"/>
        </w:rPr>
        <w:t>Registar izdatih sertifikata je javno dostupan na internet stranici Regulatorne komisije (www.reers.ba) i sadrži podatke o vrsti postrojenja, broju rješenja o izdavanju sertifikata, proizvodnom postrojenju i periodu važenja sertifikata.</w:t>
      </w:r>
    </w:p>
    <w:p w:rsidR="005A1B74" w:rsidRPr="00281D1F" w:rsidRDefault="005A1B74" w:rsidP="002D1E7C">
      <w:pPr>
        <w:pStyle w:val="Heading3"/>
        <w:numPr>
          <w:ilvl w:val="2"/>
          <w:numId w:val="31"/>
        </w:numPr>
        <w:spacing w:after="240"/>
        <w:ind w:left="0" w:firstLine="0"/>
        <w:rPr>
          <w:rFonts w:asciiTheme="minorHAnsi" w:hAnsiTheme="minorHAnsi"/>
          <w:sz w:val="24"/>
          <w:lang w:val="sr-Cyrl-BA"/>
        </w:rPr>
      </w:pPr>
      <w:bookmarkStart w:id="81" w:name="_Toc210301154"/>
      <w:r w:rsidRPr="00281D1F">
        <w:rPr>
          <w:rFonts w:asciiTheme="minorHAnsi" w:hAnsiTheme="minorHAnsi"/>
          <w:sz w:val="24"/>
          <w:lang w:val="sr-Cyrl-BA"/>
        </w:rPr>
        <w:t>Nadgledanje ispunjenosti kriterijuma na osnovu kojih je izdat sertifikat za proizvodno postrojenje</w:t>
      </w:r>
      <w:bookmarkEnd w:id="80"/>
      <w:bookmarkEnd w:id="81"/>
    </w:p>
    <w:p w:rsidR="005A1B74" w:rsidRPr="0037433A" w:rsidRDefault="005A1B74" w:rsidP="002D1E7C">
      <w:pPr>
        <w:spacing w:after="120"/>
        <w:jc w:val="both"/>
        <w:rPr>
          <w:rFonts w:asciiTheme="minorHAnsi" w:eastAsia="Cambria-Bold" w:hAnsiTheme="minorHAnsi" w:cs="Cambria"/>
          <w:sz w:val="22"/>
          <w:szCs w:val="22"/>
          <w:lang w:val="sr-Cyrl-BA"/>
        </w:rPr>
      </w:pPr>
      <w:bookmarkStart w:id="82" w:name="_Toc358640038"/>
      <w:bookmarkStart w:id="83" w:name="_Toc358640256"/>
      <w:bookmarkStart w:id="84" w:name="_Toc358640474"/>
      <w:bookmarkStart w:id="85" w:name="_Toc358640898"/>
      <w:bookmarkStart w:id="86" w:name="_Toc293411080"/>
      <w:bookmarkStart w:id="87" w:name="_Toc293414768"/>
      <w:bookmarkStart w:id="88" w:name="_Toc293563718"/>
      <w:bookmarkEnd w:id="61"/>
      <w:bookmarkEnd w:id="62"/>
      <w:bookmarkEnd w:id="63"/>
      <w:r w:rsidRPr="0037433A">
        <w:rPr>
          <w:rFonts w:asciiTheme="minorHAnsi" w:hAnsiTheme="minorHAnsi"/>
          <w:sz w:val="22"/>
          <w:szCs w:val="22"/>
          <w:lang w:val="sr-Cyrl-BA"/>
        </w:rPr>
        <w:t xml:space="preserve">Korisnici sertifikata su u obavezi da, početkom kalendarske godine, dostave izjave o ispunjenosti kriterijuma za izdavanje sertifikata </w:t>
      </w:r>
      <w:r w:rsidRPr="0037433A">
        <w:rPr>
          <w:rFonts w:asciiTheme="minorHAnsi" w:eastAsia="Cambria-Bold" w:hAnsiTheme="minorHAnsi" w:cs="Cambria"/>
          <w:sz w:val="22"/>
          <w:szCs w:val="22"/>
          <w:lang w:val="sr-Cyrl-BA"/>
        </w:rPr>
        <w:t>za proizvodno postrojenje u protekloj kalendarskoj godini, tj. za kalendarsku 202</w:t>
      </w:r>
      <w:r w:rsidRPr="0037433A">
        <w:rPr>
          <w:rFonts w:asciiTheme="minorHAnsi" w:eastAsia="Cambria-Bold" w:hAnsiTheme="minorHAnsi" w:cs="Cambria"/>
          <w:sz w:val="22"/>
          <w:szCs w:val="22"/>
          <w:lang w:val="sr-Latn-BA"/>
        </w:rPr>
        <w:t>3</w:t>
      </w:r>
      <w:r w:rsidRPr="0037433A">
        <w:rPr>
          <w:rFonts w:asciiTheme="minorHAnsi" w:eastAsia="Cambria-Bold" w:hAnsiTheme="minorHAnsi" w:cs="Cambria"/>
          <w:sz w:val="22"/>
          <w:szCs w:val="22"/>
          <w:lang w:val="sr-Cyrl-BA"/>
        </w:rPr>
        <w:t xml:space="preserve">. godinu to rade početkom 2024. godine. Većina korisnika sertifikata je blagovremeno ispunila obavezu dostavljanja navedene izjave, dok je u manjem broju slučajeva Regulatorna komisija bila prinuđena opominjati korisnike zbog neblagovremenog dostavljanja izjava. </w:t>
      </w:r>
    </w:p>
    <w:p w:rsidR="005A1B74" w:rsidRPr="0037433A" w:rsidRDefault="005A1B74" w:rsidP="002D1E7C">
      <w:pPr>
        <w:pStyle w:val="Heading3"/>
        <w:numPr>
          <w:ilvl w:val="2"/>
          <w:numId w:val="31"/>
        </w:numPr>
        <w:spacing w:after="240"/>
        <w:ind w:left="0" w:firstLine="0"/>
        <w:rPr>
          <w:rFonts w:asciiTheme="minorHAnsi" w:hAnsiTheme="minorHAnsi"/>
          <w:sz w:val="24"/>
          <w:lang w:val="sr-Cyrl-BA"/>
        </w:rPr>
      </w:pPr>
      <w:bookmarkStart w:id="89" w:name="_Toc210301155"/>
      <w:r w:rsidRPr="0037433A">
        <w:rPr>
          <w:rFonts w:asciiTheme="minorHAnsi" w:hAnsiTheme="minorHAnsi"/>
          <w:sz w:val="24"/>
          <w:lang w:val="sr-Cyrl-BA"/>
        </w:rPr>
        <w:t>Izdavanje garancija o porijeklu električne energije</w:t>
      </w:r>
      <w:bookmarkEnd w:id="89"/>
    </w:p>
    <w:p w:rsidR="005A1B74" w:rsidRPr="0037433A" w:rsidRDefault="005A1B74" w:rsidP="002D1E7C">
      <w:pPr>
        <w:spacing w:after="120"/>
        <w:jc w:val="both"/>
        <w:rPr>
          <w:rFonts w:asciiTheme="minorHAnsi" w:hAnsiTheme="minorHAnsi"/>
          <w:sz w:val="22"/>
          <w:szCs w:val="22"/>
          <w:lang w:val="sr-Cyrl-BA"/>
        </w:rPr>
      </w:pPr>
      <w:r w:rsidRPr="0037433A">
        <w:rPr>
          <w:rFonts w:asciiTheme="minorHAnsi" w:hAnsiTheme="minorHAnsi"/>
          <w:sz w:val="22"/>
          <w:szCs w:val="22"/>
          <w:lang w:val="sr-Cyrl-BA"/>
        </w:rPr>
        <w:t xml:space="preserve">Regulatorna komisija izdaje garancije o porijeklu električne energije, vrši prenos i poništavanje garancija o porijeklu.  </w:t>
      </w:r>
    </w:p>
    <w:p w:rsidR="005A1B74" w:rsidRPr="0037433A" w:rsidRDefault="005A1B74" w:rsidP="002D1E7C">
      <w:pPr>
        <w:spacing w:after="120"/>
        <w:jc w:val="both"/>
        <w:rPr>
          <w:rFonts w:asciiTheme="minorHAnsi" w:hAnsiTheme="minorHAnsi"/>
          <w:sz w:val="22"/>
          <w:szCs w:val="22"/>
          <w:lang w:val="sr-Cyrl-BA"/>
        </w:rPr>
      </w:pPr>
      <w:r w:rsidRPr="0037433A">
        <w:rPr>
          <w:rFonts w:asciiTheme="minorHAnsi" w:hAnsiTheme="minorHAnsi"/>
          <w:sz w:val="22"/>
          <w:szCs w:val="22"/>
          <w:lang w:val="sr-Cyrl-BA"/>
        </w:rPr>
        <w:t>Regulatorna komisija je u prvoj polovini 202</w:t>
      </w:r>
      <w:r w:rsidRPr="0037433A">
        <w:rPr>
          <w:rFonts w:asciiTheme="minorHAnsi" w:hAnsiTheme="minorHAnsi"/>
          <w:sz w:val="22"/>
          <w:szCs w:val="22"/>
          <w:lang w:val="bs-Latn-BA"/>
        </w:rPr>
        <w:t>3</w:t>
      </w:r>
      <w:r w:rsidRPr="0037433A">
        <w:rPr>
          <w:rFonts w:asciiTheme="minorHAnsi" w:hAnsiTheme="minorHAnsi"/>
          <w:sz w:val="22"/>
          <w:szCs w:val="22"/>
          <w:lang w:val="sr-Cyrl-BA"/>
        </w:rPr>
        <w:t>. godine, uz prethodnu saglasnost Vlade Republike Srpske, sa kompanijom GREXEL zaključila ugovor o implementaciji i održavanju Registra garancija o porijeklu električne energije i učešće u regionalnom sistemu izdavanja garancija o porijeklu. Registar je u funkciji od jula 202</w:t>
      </w:r>
      <w:r w:rsidRPr="0037433A">
        <w:rPr>
          <w:rFonts w:asciiTheme="minorHAnsi" w:hAnsiTheme="minorHAnsi"/>
          <w:sz w:val="22"/>
          <w:szCs w:val="22"/>
          <w:lang w:val="bs-Latn-BA"/>
        </w:rPr>
        <w:t>3</w:t>
      </w:r>
      <w:r w:rsidRPr="0037433A">
        <w:rPr>
          <w:rFonts w:asciiTheme="minorHAnsi" w:hAnsiTheme="minorHAnsi"/>
          <w:sz w:val="22"/>
          <w:szCs w:val="22"/>
          <w:lang w:val="sr-Cyrl-BA"/>
        </w:rPr>
        <w:t>. godine.</w:t>
      </w:r>
    </w:p>
    <w:p w:rsidR="005A1B74" w:rsidRPr="0037433A" w:rsidRDefault="005A1B74" w:rsidP="002D1E7C">
      <w:pPr>
        <w:spacing w:after="120"/>
        <w:jc w:val="both"/>
        <w:rPr>
          <w:rFonts w:asciiTheme="minorHAnsi" w:hAnsiTheme="minorHAnsi"/>
          <w:sz w:val="22"/>
          <w:szCs w:val="22"/>
          <w:lang w:val="sr-Cyrl-BA"/>
        </w:rPr>
      </w:pPr>
      <w:r w:rsidRPr="0037433A">
        <w:rPr>
          <w:rFonts w:asciiTheme="minorHAnsi" w:hAnsiTheme="minorHAnsi"/>
          <w:sz w:val="22"/>
          <w:szCs w:val="22"/>
          <w:lang w:val="sr-Cyrl-BA"/>
        </w:rPr>
        <w:t>U 2024. godini, Regulatorna komisija je:</w:t>
      </w:r>
    </w:p>
    <w:p w:rsidR="005A1B74" w:rsidRPr="0037433A" w:rsidRDefault="005A1B74" w:rsidP="002D1E7C">
      <w:pPr>
        <w:pStyle w:val="ListParagraph"/>
        <w:numPr>
          <w:ilvl w:val="0"/>
          <w:numId w:val="18"/>
        </w:numPr>
        <w:ind w:left="765" w:hanging="357"/>
        <w:jc w:val="both"/>
        <w:rPr>
          <w:rFonts w:asciiTheme="minorHAnsi" w:hAnsiTheme="minorHAnsi"/>
          <w:sz w:val="22"/>
          <w:szCs w:val="22"/>
          <w:lang w:val="sr-Cyrl-BA"/>
        </w:rPr>
      </w:pPr>
      <w:r w:rsidRPr="0037433A">
        <w:rPr>
          <w:rFonts w:asciiTheme="minorHAnsi" w:hAnsiTheme="minorHAnsi"/>
          <w:sz w:val="22"/>
          <w:szCs w:val="22"/>
          <w:lang w:val="sr-Cyrl-BA"/>
        </w:rPr>
        <w:t xml:space="preserve">donijela </w:t>
      </w:r>
      <w:r w:rsidRPr="0037433A">
        <w:rPr>
          <w:rFonts w:asciiTheme="minorHAnsi" w:hAnsiTheme="minorHAnsi"/>
          <w:sz w:val="22"/>
          <w:szCs w:val="22"/>
          <w:lang w:val="bs-Latn-BA"/>
        </w:rPr>
        <w:t>šest</w:t>
      </w:r>
      <w:r w:rsidRPr="0037433A">
        <w:rPr>
          <w:rFonts w:asciiTheme="minorHAnsi" w:hAnsiTheme="minorHAnsi"/>
          <w:sz w:val="22"/>
          <w:szCs w:val="22"/>
          <w:lang w:val="sr-Cyrl-BA"/>
        </w:rPr>
        <w:t xml:space="preserve"> rješenja o pokretanju postupka izdavanja garancija o porijeklu električne energije, </w:t>
      </w:r>
    </w:p>
    <w:p w:rsidR="005A1B74" w:rsidRPr="0037433A" w:rsidRDefault="005A1B74" w:rsidP="002D1E7C">
      <w:pPr>
        <w:pStyle w:val="ListParagraph"/>
        <w:numPr>
          <w:ilvl w:val="0"/>
          <w:numId w:val="18"/>
        </w:numPr>
        <w:ind w:left="765" w:hanging="357"/>
        <w:jc w:val="both"/>
        <w:rPr>
          <w:rFonts w:asciiTheme="minorHAnsi" w:hAnsiTheme="minorHAnsi"/>
          <w:sz w:val="22"/>
          <w:szCs w:val="22"/>
          <w:lang w:val="sr-Cyrl-BA"/>
        </w:rPr>
      </w:pPr>
      <w:r w:rsidRPr="0037433A">
        <w:rPr>
          <w:rFonts w:asciiTheme="minorHAnsi" w:hAnsiTheme="minorHAnsi"/>
          <w:sz w:val="22"/>
          <w:szCs w:val="22"/>
          <w:lang w:val="sr-Cyrl-BA"/>
        </w:rPr>
        <w:t>donijela jedno rješenje o otvaranju naloga u registru garancija o porijeklu korisnicima dozvola za obavljanje djelatnosti snabdijevanja i trgovine električnom energijom,</w:t>
      </w:r>
    </w:p>
    <w:p w:rsidR="005A1B74" w:rsidRPr="0037433A" w:rsidRDefault="005A1B74" w:rsidP="002D1E7C">
      <w:pPr>
        <w:pStyle w:val="ListParagraph"/>
        <w:numPr>
          <w:ilvl w:val="0"/>
          <w:numId w:val="18"/>
        </w:numPr>
        <w:ind w:left="765" w:hanging="357"/>
        <w:jc w:val="both"/>
        <w:rPr>
          <w:rFonts w:asciiTheme="minorHAnsi" w:hAnsiTheme="minorHAnsi"/>
          <w:sz w:val="22"/>
          <w:szCs w:val="22"/>
          <w:lang w:val="sr-Cyrl-BA"/>
        </w:rPr>
      </w:pPr>
      <w:r w:rsidRPr="0037433A">
        <w:rPr>
          <w:rFonts w:asciiTheme="minorHAnsi" w:hAnsiTheme="minorHAnsi"/>
          <w:sz w:val="22"/>
          <w:szCs w:val="22"/>
          <w:lang w:val="sr-Cyrl-BA"/>
        </w:rPr>
        <w:t>izdala 55.274 garancija o porijeklu električne energije proizvođačima, a nije bilo prenosa i poništavanja garancija o porijeklu.</w:t>
      </w:r>
    </w:p>
    <w:p w:rsidR="005A1B74" w:rsidRPr="0037433A" w:rsidRDefault="005A1B74" w:rsidP="002D1E7C">
      <w:pPr>
        <w:pStyle w:val="ListParagraph"/>
        <w:ind w:left="765"/>
        <w:jc w:val="both"/>
        <w:rPr>
          <w:rFonts w:asciiTheme="minorHAnsi" w:hAnsiTheme="minorHAnsi"/>
          <w:sz w:val="22"/>
          <w:szCs w:val="22"/>
          <w:lang w:val="sr-Cyrl-BA"/>
        </w:rPr>
      </w:pPr>
    </w:p>
    <w:p w:rsidR="005A1B74" w:rsidRPr="006F5737" w:rsidRDefault="005A1B74" w:rsidP="002D1E7C">
      <w:pPr>
        <w:jc w:val="both"/>
        <w:rPr>
          <w:rFonts w:asciiTheme="minorHAnsi" w:hAnsiTheme="minorHAnsi"/>
          <w:sz w:val="22"/>
          <w:szCs w:val="22"/>
          <w:lang w:val="sr-Cyrl-RS"/>
        </w:rPr>
      </w:pPr>
      <w:r w:rsidRPr="0037433A">
        <w:rPr>
          <w:rFonts w:asciiTheme="minorHAnsi" w:hAnsiTheme="minorHAnsi"/>
          <w:sz w:val="22"/>
          <w:szCs w:val="22"/>
          <w:lang w:val="sr-Cyrl-RS"/>
        </w:rPr>
        <w:lastRenderedPageBreak/>
        <w:t>Tokom 2024. godine, istekao je period važenja za 21.326 prethodno izdatih garancija o porijeklu električne energije.</w:t>
      </w:r>
    </w:p>
    <w:p w:rsidR="005A1B74" w:rsidRDefault="005A1B74" w:rsidP="002D1E7C">
      <w:pPr>
        <w:pStyle w:val="Heading3"/>
        <w:numPr>
          <w:ilvl w:val="2"/>
          <w:numId w:val="31"/>
        </w:numPr>
        <w:spacing w:after="240"/>
        <w:ind w:left="0" w:firstLine="0"/>
        <w:rPr>
          <w:rFonts w:asciiTheme="minorHAnsi" w:hAnsiTheme="minorHAnsi"/>
          <w:sz w:val="24"/>
          <w:lang w:val="sr-Cyrl-BA"/>
        </w:rPr>
      </w:pPr>
      <w:bookmarkStart w:id="90" w:name="_Toc210301156"/>
      <w:r w:rsidRPr="00281D1F">
        <w:rPr>
          <w:rFonts w:asciiTheme="minorHAnsi" w:hAnsiTheme="minorHAnsi"/>
          <w:sz w:val="24"/>
          <w:lang w:val="sr-Cyrl-BA"/>
        </w:rPr>
        <w:t>Regulacija cijena</w:t>
      </w:r>
      <w:bookmarkEnd w:id="82"/>
      <w:bookmarkEnd w:id="83"/>
      <w:bookmarkEnd w:id="84"/>
      <w:bookmarkEnd w:id="85"/>
      <w:bookmarkEnd w:id="90"/>
      <w:r w:rsidRPr="00281D1F">
        <w:rPr>
          <w:rFonts w:asciiTheme="minorHAnsi" w:hAnsiTheme="minorHAnsi"/>
          <w:sz w:val="24"/>
          <w:lang w:val="sr-Cyrl-BA"/>
        </w:rPr>
        <w:t xml:space="preserve"> </w:t>
      </w:r>
      <w:bookmarkEnd w:id="86"/>
      <w:bookmarkEnd w:id="87"/>
      <w:bookmarkEnd w:id="88"/>
    </w:p>
    <w:p w:rsidR="005A1B74" w:rsidRPr="000B731C" w:rsidRDefault="005A1B74" w:rsidP="002D1E7C">
      <w:pPr>
        <w:numPr>
          <w:ilvl w:val="0"/>
          <w:numId w:val="26"/>
        </w:numPr>
        <w:spacing w:before="240" w:after="120"/>
        <w:ind w:left="1077" w:hanging="357"/>
        <w:jc w:val="both"/>
        <w:rPr>
          <w:rFonts w:asciiTheme="minorHAnsi" w:hAnsiTheme="minorHAnsi" w:cs="Calibri"/>
          <w:i/>
          <w:sz w:val="22"/>
          <w:szCs w:val="22"/>
          <w:lang w:val="sr-Cyrl-BA"/>
        </w:rPr>
      </w:pPr>
      <w:r w:rsidRPr="000724C1">
        <w:rPr>
          <w:rFonts w:asciiTheme="minorHAnsi" w:hAnsiTheme="minorHAnsi" w:cs="Calibri"/>
          <w:b/>
          <w:i/>
          <w:sz w:val="22"/>
          <w:szCs w:val="22"/>
          <w:lang w:val="sr-Cyrl-BA"/>
        </w:rPr>
        <w:t>Odobravanje tarifnih stavova za javno snabdijevanje</w:t>
      </w:r>
    </w:p>
    <w:p w:rsidR="005A1B74" w:rsidRDefault="005A1B74" w:rsidP="002D1E7C">
      <w:pPr>
        <w:pStyle w:val="BodyText"/>
        <w:jc w:val="both"/>
        <w:rPr>
          <w:rFonts w:ascii="Calibri" w:hAnsi="Calibri" w:cs="Arial"/>
          <w:bCs/>
          <w:sz w:val="22"/>
          <w:szCs w:val="22"/>
          <w:lang w:val="sr-Cyrl-BA"/>
        </w:rPr>
      </w:pPr>
      <w:r>
        <w:rPr>
          <w:rFonts w:ascii="Calibri" w:hAnsi="Calibri" w:cs="Arial"/>
          <w:bCs/>
          <w:sz w:val="22"/>
          <w:szCs w:val="22"/>
          <w:lang w:val="sr-Cyrl-BA"/>
        </w:rPr>
        <w:t>U toku 2024. godine, Regulatorna komisija je odobrila</w:t>
      </w:r>
      <w:r w:rsidRPr="00BF2CED">
        <w:rPr>
          <w:rFonts w:ascii="Calibri" w:hAnsi="Calibri" w:cs="Arial"/>
          <w:bCs/>
          <w:sz w:val="22"/>
          <w:szCs w:val="22"/>
          <w:lang w:val="sr-Cyrl-BA"/>
        </w:rPr>
        <w:t xml:space="preserve"> tarifn</w:t>
      </w:r>
      <w:r>
        <w:rPr>
          <w:rFonts w:ascii="Calibri" w:hAnsi="Calibri" w:cs="Arial"/>
          <w:bCs/>
          <w:sz w:val="22"/>
          <w:szCs w:val="22"/>
          <w:lang w:val="sr-Cyrl-BA"/>
        </w:rPr>
        <w:t>e</w:t>
      </w:r>
      <w:r w:rsidRPr="00BF2CED">
        <w:rPr>
          <w:rFonts w:ascii="Calibri" w:hAnsi="Calibri" w:cs="Arial"/>
          <w:bCs/>
          <w:sz w:val="22"/>
          <w:szCs w:val="22"/>
          <w:lang w:val="sr-Cyrl-BA"/>
        </w:rPr>
        <w:t xml:space="preserve"> stavov</w:t>
      </w:r>
      <w:r>
        <w:rPr>
          <w:rFonts w:ascii="Calibri" w:hAnsi="Calibri" w:cs="Arial"/>
          <w:bCs/>
          <w:sz w:val="22"/>
          <w:szCs w:val="22"/>
          <w:lang w:val="sr-Cyrl-BA"/>
        </w:rPr>
        <w:t>e</w:t>
      </w:r>
      <w:r w:rsidRPr="00BF2CED">
        <w:rPr>
          <w:rFonts w:ascii="Calibri" w:hAnsi="Calibri" w:cs="Arial"/>
          <w:bCs/>
          <w:sz w:val="22"/>
          <w:szCs w:val="22"/>
          <w:lang w:val="sr-Cyrl-BA"/>
        </w:rPr>
        <w:t xml:space="preserve"> za javno snabdijevanje krajnjih kupaca u Republici Srpskoj</w:t>
      </w:r>
      <w:r>
        <w:rPr>
          <w:rFonts w:ascii="Calibri" w:hAnsi="Calibri" w:cs="Arial"/>
          <w:bCs/>
          <w:sz w:val="22"/>
          <w:szCs w:val="22"/>
          <w:lang w:val="sr-Latn-BA"/>
        </w:rPr>
        <w:t xml:space="preserve"> </w:t>
      </w:r>
      <w:r>
        <w:rPr>
          <w:rFonts w:ascii="Calibri" w:hAnsi="Calibri" w:cs="Arial"/>
          <w:bCs/>
          <w:sz w:val="22"/>
          <w:szCs w:val="22"/>
          <w:lang w:val="sr-Cyrl-BA"/>
        </w:rPr>
        <w:t xml:space="preserve">po zahtjevu </w:t>
      </w:r>
      <w:r w:rsidRPr="00951616">
        <w:rPr>
          <w:rFonts w:ascii="Calibri" w:hAnsi="Calibri" w:cs="Arial"/>
          <w:bCs/>
          <w:sz w:val="22"/>
          <w:szCs w:val="22"/>
          <w:lang w:val="sr-Cyrl-BA"/>
        </w:rPr>
        <w:t>Mješovitog Holdinga „Elektroprivreda Republike Srpske“  Matično Preduzeće a.d. Trebinje</w:t>
      </w:r>
      <w:r w:rsidRPr="00951616">
        <w:rPr>
          <w:rFonts w:ascii="Calibri" w:hAnsi="Calibri" w:cs="Arial"/>
          <w:bCs/>
          <w:sz w:val="22"/>
          <w:szCs w:val="22"/>
          <w:lang w:val="sr-Latn-CS"/>
        </w:rPr>
        <w:t>,</w:t>
      </w:r>
      <w:r>
        <w:rPr>
          <w:rFonts w:ascii="Calibri" w:hAnsi="Calibri" w:cs="Arial"/>
          <w:bCs/>
          <w:sz w:val="22"/>
          <w:szCs w:val="22"/>
          <w:lang w:val="sr-Cyrl-BA"/>
        </w:rPr>
        <w:t xml:space="preserve"> koji obavlja javno snabdijevanje u skladu sa odlukom Vlade Republike Srpske.</w:t>
      </w:r>
    </w:p>
    <w:p w:rsidR="005A1B74" w:rsidRDefault="005A1B74" w:rsidP="002D1E7C">
      <w:pPr>
        <w:pStyle w:val="BodyText"/>
        <w:jc w:val="both"/>
        <w:rPr>
          <w:rFonts w:ascii="Calibri" w:hAnsi="Calibri" w:cs="Arial"/>
          <w:bCs/>
          <w:iCs/>
          <w:sz w:val="22"/>
          <w:szCs w:val="22"/>
          <w:lang w:val="sr-Cyrl-BA"/>
        </w:rPr>
      </w:pPr>
      <w:r>
        <w:rPr>
          <w:rFonts w:ascii="Calibri" w:hAnsi="Calibri" w:cs="Arial"/>
          <w:bCs/>
          <w:iCs/>
          <w:sz w:val="22"/>
          <w:szCs w:val="22"/>
          <w:lang w:val="sr-Cyrl-BA"/>
        </w:rPr>
        <w:t>D</w:t>
      </w:r>
      <w:r w:rsidRPr="00951616">
        <w:rPr>
          <w:rFonts w:ascii="Calibri" w:hAnsi="Calibri" w:cs="Arial"/>
          <w:bCs/>
          <w:iCs/>
          <w:sz w:val="22"/>
          <w:szCs w:val="22"/>
          <w:lang w:val="sr-Cyrl-BA"/>
        </w:rPr>
        <w:t xml:space="preserve">ostavljeni zahtjev </w:t>
      </w:r>
      <w:r>
        <w:rPr>
          <w:rFonts w:ascii="Calibri" w:hAnsi="Calibri" w:cs="Arial"/>
          <w:bCs/>
          <w:iCs/>
          <w:sz w:val="22"/>
          <w:szCs w:val="22"/>
          <w:lang w:val="sr-Cyrl-BA"/>
        </w:rPr>
        <w:t xml:space="preserve"> za </w:t>
      </w:r>
      <w:r w:rsidRPr="000724C1">
        <w:rPr>
          <w:rFonts w:ascii="Calibri" w:hAnsi="Calibri" w:cs="Arial"/>
          <w:bCs/>
          <w:iCs/>
          <w:sz w:val="22"/>
          <w:szCs w:val="22"/>
          <w:lang w:val="sr-Cyrl-BA"/>
        </w:rPr>
        <w:t>odobrenje tarifnih stavova za javno snabdijevanje krajnjih kupaca</w:t>
      </w:r>
      <w:r>
        <w:rPr>
          <w:rFonts w:ascii="Calibri" w:hAnsi="Calibri" w:cs="Arial"/>
          <w:bCs/>
          <w:iCs/>
          <w:sz w:val="22"/>
          <w:szCs w:val="22"/>
          <w:lang w:val="sr-Cyrl-BA"/>
        </w:rPr>
        <w:t xml:space="preserve"> se </w:t>
      </w:r>
      <w:r w:rsidRPr="00951616">
        <w:rPr>
          <w:rFonts w:ascii="Calibri" w:hAnsi="Calibri" w:cs="Arial"/>
          <w:bCs/>
          <w:iCs/>
          <w:sz w:val="22"/>
          <w:szCs w:val="22"/>
          <w:lang w:val="sr-Cyrl-BA"/>
        </w:rPr>
        <w:t xml:space="preserve"> temelji</w:t>
      </w:r>
      <w:r>
        <w:rPr>
          <w:rFonts w:ascii="Calibri" w:hAnsi="Calibri" w:cs="Arial"/>
          <w:bCs/>
          <w:iCs/>
          <w:sz w:val="22"/>
          <w:szCs w:val="22"/>
          <w:lang w:val="sr-Cyrl-BA"/>
        </w:rPr>
        <w:t>o</w:t>
      </w:r>
      <w:r w:rsidRPr="00951616">
        <w:rPr>
          <w:rFonts w:ascii="Calibri" w:hAnsi="Calibri" w:cs="Arial"/>
          <w:bCs/>
          <w:iCs/>
          <w:sz w:val="22"/>
          <w:szCs w:val="22"/>
          <w:lang w:val="sr-Cyrl-BA"/>
        </w:rPr>
        <w:t xml:space="preserve"> na promjeni cijene nabavke električne energije, dok je cijena usluge javnog snabdijevanja ostala neprom</w:t>
      </w:r>
      <w:r>
        <w:rPr>
          <w:rFonts w:ascii="Calibri" w:hAnsi="Calibri" w:cs="Arial"/>
          <w:bCs/>
          <w:iCs/>
          <w:sz w:val="22"/>
          <w:szCs w:val="22"/>
          <w:lang w:val="sr-Cyrl-BA"/>
        </w:rPr>
        <w:t>i</w:t>
      </w:r>
      <w:r w:rsidRPr="00951616">
        <w:rPr>
          <w:rFonts w:ascii="Calibri" w:hAnsi="Calibri" w:cs="Arial"/>
          <w:bCs/>
          <w:iCs/>
          <w:sz w:val="22"/>
          <w:szCs w:val="22"/>
          <w:lang w:val="sr-Cyrl-BA"/>
        </w:rPr>
        <w:t>jenjena</w:t>
      </w:r>
      <w:r>
        <w:rPr>
          <w:rFonts w:ascii="Calibri" w:hAnsi="Calibri" w:cs="Arial"/>
          <w:bCs/>
          <w:iCs/>
          <w:sz w:val="22"/>
          <w:szCs w:val="22"/>
          <w:lang w:val="sr-Cyrl-BA"/>
        </w:rPr>
        <w:t>.</w:t>
      </w:r>
    </w:p>
    <w:p w:rsidR="005A1B74" w:rsidRPr="000A405B" w:rsidRDefault="005A1B74" w:rsidP="002D1E7C">
      <w:pPr>
        <w:spacing w:before="120" w:after="120"/>
        <w:jc w:val="both"/>
        <w:rPr>
          <w:rFonts w:ascii="Calibri" w:hAnsi="Calibri" w:cs="Arial"/>
          <w:bCs/>
          <w:iCs/>
          <w:sz w:val="22"/>
          <w:szCs w:val="22"/>
          <w:lang w:val="sr-Cyrl-BA"/>
        </w:rPr>
      </w:pPr>
      <w:r w:rsidRPr="000724C1">
        <w:rPr>
          <w:rFonts w:ascii="Calibri" w:hAnsi="Calibri" w:cs="Arial"/>
          <w:bCs/>
          <w:iCs/>
          <w:sz w:val="22"/>
          <w:szCs w:val="22"/>
          <w:lang w:val="sr-Cyrl-BA"/>
        </w:rPr>
        <w:t xml:space="preserve">Regulatorna komisija prihvatila </w:t>
      </w:r>
      <w:r>
        <w:rPr>
          <w:rFonts w:ascii="Calibri" w:hAnsi="Calibri" w:cs="Arial"/>
          <w:bCs/>
          <w:iCs/>
          <w:sz w:val="22"/>
          <w:szCs w:val="22"/>
          <w:lang w:val="sr-Cyrl-BA"/>
        </w:rPr>
        <w:t xml:space="preserve">je </w:t>
      </w:r>
      <w:r w:rsidRPr="000724C1">
        <w:rPr>
          <w:rFonts w:ascii="Calibri" w:hAnsi="Calibri" w:cs="Arial"/>
          <w:bCs/>
          <w:iCs/>
          <w:sz w:val="22"/>
          <w:szCs w:val="22"/>
          <w:lang w:val="sr-Cyrl-BA"/>
        </w:rPr>
        <w:t>zahtjev javnog snabdjevača i odobrila zahtijevanu cijenu nabavke elektr</w:t>
      </w:r>
      <w:r w:rsidRPr="000A405B">
        <w:rPr>
          <w:rFonts w:ascii="Calibri" w:hAnsi="Calibri" w:cs="Arial"/>
          <w:bCs/>
          <w:iCs/>
          <w:sz w:val="22"/>
          <w:szCs w:val="22"/>
          <w:lang w:val="sr-Cyrl-BA"/>
        </w:rPr>
        <w:t>ične energije od 0,0777 KM/kWh, koja je u prethodnom periodu iznosila</w:t>
      </w:r>
      <w:r w:rsidRPr="000724C1">
        <w:rPr>
          <w:rFonts w:ascii="Calibri" w:hAnsi="Calibri" w:cs="Arial"/>
          <w:bCs/>
          <w:iCs/>
          <w:sz w:val="22"/>
          <w:szCs w:val="22"/>
          <w:lang w:val="sr-Cyrl-BA"/>
        </w:rPr>
        <w:t xml:space="preserve"> 0,0643 KM/kWh. Ovim je cijena nabavke električne energije veća od prethodno korišćene cijene za 20,8%, dok povećanje ukupnog računa za krajnje kupce iz kategorije </w:t>
      </w:r>
      <w:r>
        <w:rPr>
          <w:rFonts w:ascii="Calibri" w:hAnsi="Calibri" w:cs="Arial"/>
          <w:bCs/>
          <w:iCs/>
          <w:sz w:val="22"/>
          <w:szCs w:val="22"/>
          <w:lang w:val="sr-Cyrl-BA"/>
        </w:rPr>
        <w:t>„D</w:t>
      </w:r>
      <w:r w:rsidRPr="000724C1">
        <w:rPr>
          <w:rFonts w:ascii="Calibri" w:hAnsi="Calibri" w:cs="Arial"/>
          <w:bCs/>
          <w:iCs/>
          <w:sz w:val="22"/>
          <w:szCs w:val="22"/>
          <w:lang w:val="sr-Cyrl-BA"/>
        </w:rPr>
        <w:t>omaćinstava</w:t>
      </w:r>
      <w:r>
        <w:rPr>
          <w:rFonts w:ascii="Calibri" w:hAnsi="Calibri" w:cs="Arial"/>
          <w:bCs/>
          <w:iCs/>
          <w:sz w:val="22"/>
          <w:szCs w:val="22"/>
          <w:lang w:val="sr-Cyrl-BA"/>
        </w:rPr>
        <w:t>“</w:t>
      </w:r>
      <w:r w:rsidRPr="000724C1">
        <w:rPr>
          <w:rFonts w:ascii="Calibri" w:hAnsi="Calibri" w:cs="Arial"/>
          <w:bCs/>
          <w:iCs/>
          <w:sz w:val="22"/>
          <w:szCs w:val="22"/>
          <w:lang w:val="sr-Cyrl-BA"/>
        </w:rPr>
        <w:t xml:space="preserve"> iznosi u prosjeku 7,9%. </w:t>
      </w:r>
    </w:p>
    <w:p w:rsidR="005A1B74" w:rsidRDefault="005A1B74" w:rsidP="002D1E7C">
      <w:pPr>
        <w:pStyle w:val="BodyText"/>
        <w:jc w:val="both"/>
        <w:rPr>
          <w:rFonts w:ascii="Calibri" w:hAnsi="Calibri" w:cs="Arial"/>
          <w:bCs/>
          <w:sz w:val="22"/>
          <w:szCs w:val="22"/>
          <w:lang w:val="sr-Cyrl-BA"/>
        </w:rPr>
      </w:pPr>
      <w:r w:rsidRPr="00951616">
        <w:rPr>
          <w:rFonts w:ascii="Calibri" w:hAnsi="Calibri" w:cs="Arial"/>
          <w:bCs/>
          <w:sz w:val="22"/>
          <w:szCs w:val="22"/>
          <w:lang w:val="hr-HR"/>
        </w:rPr>
        <w:t xml:space="preserve">Regulatorna komisija za </w:t>
      </w:r>
      <w:r w:rsidRPr="00951616">
        <w:rPr>
          <w:rFonts w:ascii="Calibri" w:hAnsi="Calibri" w:cs="Arial"/>
          <w:bCs/>
          <w:sz w:val="22"/>
          <w:szCs w:val="22"/>
          <w:lang w:val="sr-Cyrl-BA"/>
        </w:rPr>
        <w:t>energetiku</w:t>
      </w:r>
      <w:r>
        <w:rPr>
          <w:rFonts w:ascii="Calibri" w:hAnsi="Calibri" w:cs="Arial"/>
          <w:bCs/>
          <w:sz w:val="22"/>
          <w:szCs w:val="22"/>
          <w:lang w:val="hr-HR"/>
        </w:rPr>
        <w:t xml:space="preserve"> Republike Srpske, na 120</w:t>
      </w:r>
      <w:r w:rsidRPr="00951616">
        <w:rPr>
          <w:rFonts w:ascii="Calibri" w:hAnsi="Calibri" w:cs="Arial"/>
          <w:bCs/>
          <w:sz w:val="22"/>
          <w:szCs w:val="22"/>
          <w:lang w:val="hr-HR"/>
        </w:rPr>
        <w:t>. redovnoj sjednici</w:t>
      </w:r>
      <w:r w:rsidRPr="00951616">
        <w:rPr>
          <w:rFonts w:ascii="Calibri" w:hAnsi="Calibri" w:cs="Arial"/>
          <w:bCs/>
          <w:sz w:val="22"/>
          <w:szCs w:val="22"/>
          <w:lang w:val="sr-Cyrl-ME"/>
        </w:rPr>
        <w:t>,</w:t>
      </w:r>
      <w:r w:rsidRPr="00951616">
        <w:rPr>
          <w:rFonts w:ascii="Calibri" w:hAnsi="Calibri" w:cs="Arial"/>
          <w:bCs/>
          <w:sz w:val="22"/>
          <w:szCs w:val="22"/>
          <w:lang w:val="hr-HR"/>
        </w:rPr>
        <w:t xml:space="preserve"> </w:t>
      </w:r>
      <w:r w:rsidRPr="00951616">
        <w:rPr>
          <w:rFonts w:ascii="Calibri" w:hAnsi="Calibri" w:cs="Arial"/>
          <w:bCs/>
          <w:sz w:val="22"/>
          <w:szCs w:val="22"/>
          <w:lang w:val="sr-Cyrl-BA"/>
        </w:rPr>
        <w:t>održanoj</w:t>
      </w:r>
      <w:r w:rsidRPr="00951616">
        <w:rPr>
          <w:rFonts w:ascii="Calibri" w:hAnsi="Calibri" w:cs="Arial"/>
          <w:bCs/>
          <w:sz w:val="22"/>
          <w:szCs w:val="22"/>
          <w:lang w:val="hr-HR"/>
        </w:rPr>
        <w:t xml:space="preserve"> </w:t>
      </w:r>
      <w:r>
        <w:rPr>
          <w:rFonts w:ascii="Calibri" w:hAnsi="Calibri" w:cs="Arial"/>
          <w:bCs/>
          <w:sz w:val="22"/>
          <w:szCs w:val="22"/>
          <w:lang w:val="sr-Cyrl-BA"/>
        </w:rPr>
        <w:t>17</w:t>
      </w:r>
      <w:r w:rsidRPr="00951616">
        <w:rPr>
          <w:rFonts w:ascii="Calibri" w:hAnsi="Calibri" w:cs="Arial"/>
          <w:bCs/>
          <w:sz w:val="22"/>
          <w:szCs w:val="22"/>
          <w:lang w:val="bs-Latn-BA"/>
        </w:rPr>
        <w:t>.</w:t>
      </w:r>
      <w:r w:rsidRPr="00951616">
        <w:rPr>
          <w:rFonts w:ascii="Calibri" w:hAnsi="Calibri" w:cs="Arial"/>
          <w:bCs/>
          <w:sz w:val="22"/>
          <w:szCs w:val="22"/>
          <w:lang w:val="sr-Cyrl-RS"/>
        </w:rPr>
        <w:t xml:space="preserve"> decembra </w:t>
      </w:r>
      <w:r w:rsidRPr="000724C1">
        <w:rPr>
          <w:rFonts w:ascii="Calibri" w:hAnsi="Calibri" w:cs="Arial"/>
          <w:bCs/>
          <w:sz w:val="22"/>
          <w:szCs w:val="22"/>
          <w:lang w:val="hr-HR"/>
        </w:rPr>
        <w:t xml:space="preserve">2024. </w:t>
      </w:r>
      <w:r w:rsidRPr="00310796">
        <w:rPr>
          <w:rFonts w:ascii="Calibri" w:hAnsi="Calibri" w:cs="Arial"/>
          <w:bCs/>
          <w:sz w:val="22"/>
          <w:szCs w:val="22"/>
          <w:lang w:val="hr-HR"/>
        </w:rPr>
        <w:t>godine</w:t>
      </w:r>
      <w:r w:rsidRPr="000724C1">
        <w:rPr>
          <w:rFonts w:ascii="Calibri" w:hAnsi="Calibri" w:cs="Arial"/>
          <w:bCs/>
          <w:sz w:val="22"/>
          <w:szCs w:val="22"/>
          <w:lang w:val="hr-HR"/>
        </w:rPr>
        <w:t xml:space="preserve">, u Trebinju, </w:t>
      </w:r>
      <w:r w:rsidRPr="00310796">
        <w:rPr>
          <w:rFonts w:ascii="Calibri" w:hAnsi="Calibri" w:cs="Arial"/>
          <w:bCs/>
          <w:sz w:val="22"/>
          <w:szCs w:val="22"/>
          <w:lang w:val="hr-HR"/>
        </w:rPr>
        <w:t>donijela je</w:t>
      </w:r>
      <w:r w:rsidRPr="000724C1">
        <w:rPr>
          <w:rFonts w:ascii="Calibri" w:hAnsi="Calibri" w:cs="Arial"/>
          <w:bCs/>
          <w:sz w:val="22"/>
          <w:szCs w:val="22"/>
          <w:lang w:val="hr-HR"/>
        </w:rPr>
        <w:t xml:space="preserve"> Odluku o odobravanju cijene energije i tarifnih stavova za javno snabdijevanje u Republici Srpskoj, koja je počela da se primjenjuje od 1. januara 2025</w:t>
      </w:r>
      <w:r w:rsidRPr="00637207">
        <w:rPr>
          <w:rFonts w:ascii="Calibri" w:hAnsi="Calibri" w:cs="Arial"/>
          <w:bCs/>
          <w:sz w:val="22"/>
          <w:szCs w:val="22"/>
          <w:lang w:val="sr-Cyrl-BA"/>
        </w:rPr>
        <w:t>. godine.</w:t>
      </w:r>
      <w:r>
        <w:rPr>
          <w:rFonts w:ascii="Calibri" w:hAnsi="Calibri" w:cs="Arial"/>
          <w:bCs/>
          <w:sz w:val="22"/>
          <w:szCs w:val="22"/>
          <w:lang w:val="sr-Cyrl-BA"/>
        </w:rPr>
        <w:t xml:space="preserve"> </w:t>
      </w:r>
    </w:p>
    <w:p w:rsidR="005A1B74" w:rsidRPr="00281D1F" w:rsidRDefault="005A1B74" w:rsidP="002D1E7C">
      <w:pPr>
        <w:pStyle w:val="BodyText"/>
        <w:rPr>
          <w:rFonts w:asciiTheme="minorHAnsi" w:hAnsiTheme="minorHAnsi" w:cs="Calibri"/>
          <w:b/>
          <w:i/>
          <w:sz w:val="22"/>
          <w:szCs w:val="22"/>
          <w:lang w:val="sr-Cyrl-BA"/>
        </w:rPr>
      </w:pPr>
      <w:r w:rsidRPr="00281D1F">
        <w:rPr>
          <w:rFonts w:asciiTheme="minorHAnsi" w:hAnsiTheme="minorHAnsi" w:cs="Calibri"/>
          <w:b/>
          <w:i/>
          <w:sz w:val="22"/>
          <w:szCs w:val="22"/>
          <w:lang w:val="sr-Cyrl-BA"/>
        </w:rPr>
        <w:t xml:space="preserve">Naknada za podsticanje proizvodnje električne energije iz obnovljivih izvora </w:t>
      </w:r>
    </w:p>
    <w:p w:rsidR="005A1B74" w:rsidRPr="00281D1F" w:rsidRDefault="005A1B74" w:rsidP="002D1E7C">
      <w:pPr>
        <w:spacing w:after="120"/>
        <w:jc w:val="both"/>
        <w:rPr>
          <w:rFonts w:asciiTheme="minorHAnsi" w:hAnsiTheme="minorHAnsi" w:cs="Calibri"/>
          <w:sz w:val="22"/>
          <w:szCs w:val="22"/>
          <w:lang w:val="sr-Cyrl-BA"/>
        </w:rPr>
      </w:pPr>
      <w:r w:rsidRPr="00281D1F">
        <w:rPr>
          <w:rFonts w:asciiTheme="minorHAnsi" w:hAnsiTheme="minorHAnsi" w:cs="Calibri"/>
          <w:sz w:val="22"/>
          <w:szCs w:val="22"/>
          <w:lang w:val="sr-Cyrl-BA"/>
        </w:rPr>
        <w:t>Na osnovu odredbe člana 46. stav 4. Zakona o obnovljivim izvorima energije, Regulatorna komisija utvrđuje visinu naknade za podsticanje proizvodnje električne energije iz obnovljivih izvora, uz saglasnost Vlade Republike Srpske. Iznos naknade se određuje krajem tekuće godine za narednu godinu. Naknada koja se primjenjivala u 202</w:t>
      </w:r>
      <w:r>
        <w:rPr>
          <w:rFonts w:asciiTheme="minorHAnsi" w:hAnsiTheme="minorHAnsi" w:cs="Calibri"/>
          <w:sz w:val="22"/>
          <w:szCs w:val="22"/>
          <w:lang w:val="sr-Cyrl-BA"/>
        </w:rPr>
        <w:t>4</w:t>
      </w:r>
      <w:r w:rsidRPr="00281D1F">
        <w:rPr>
          <w:rFonts w:asciiTheme="minorHAnsi" w:hAnsiTheme="minorHAnsi" w:cs="Calibri"/>
          <w:sz w:val="22"/>
          <w:szCs w:val="22"/>
          <w:lang w:val="sr-Cyrl-BA"/>
        </w:rPr>
        <w:t>. godini iznosila je 0,0007 KM/kWh i utvrđena je odlukom Regulator</w:t>
      </w:r>
      <w:r>
        <w:rPr>
          <w:rFonts w:asciiTheme="minorHAnsi" w:hAnsiTheme="minorHAnsi" w:cs="Calibri"/>
          <w:sz w:val="22"/>
          <w:szCs w:val="22"/>
          <w:lang w:val="sr-Cyrl-BA"/>
        </w:rPr>
        <w:t>n</w:t>
      </w:r>
      <w:r w:rsidRPr="00281D1F">
        <w:rPr>
          <w:rFonts w:asciiTheme="minorHAnsi" w:hAnsiTheme="minorHAnsi" w:cs="Calibri"/>
          <w:sz w:val="22"/>
          <w:szCs w:val="22"/>
          <w:lang w:val="sr-Cyrl-BA"/>
        </w:rPr>
        <w:t>e komisije iz 202</w:t>
      </w:r>
      <w:r>
        <w:rPr>
          <w:rFonts w:asciiTheme="minorHAnsi" w:hAnsiTheme="minorHAnsi" w:cs="Calibri"/>
          <w:sz w:val="22"/>
          <w:szCs w:val="22"/>
          <w:lang w:val="sr-Cyrl-BA"/>
        </w:rPr>
        <w:t>3</w:t>
      </w:r>
      <w:r w:rsidRPr="00281D1F">
        <w:rPr>
          <w:rFonts w:asciiTheme="minorHAnsi" w:hAnsiTheme="minorHAnsi" w:cs="Calibri"/>
          <w:sz w:val="22"/>
          <w:szCs w:val="22"/>
          <w:lang w:val="sr-Cyrl-BA"/>
        </w:rPr>
        <w:t>. godine.</w:t>
      </w:r>
    </w:p>
    <w:p w:rsidR="005A1B74" w:rsidRPr="00281D1F" w:rsidRDefault="005A1B74" w:rsidP="002D1E7C">
      <w:pPr>
        <w:spacing w:after="120"/>
        <w:jc w:val="both"/>
        <w:rPr>
          <w:rFonts w:asciiTheme="minorHAnsi" w:hAnsiTheme="minorHAnsi" w:cs="Calibri"/>
          <w:sz w:val="22"/>
          <w:szCs w:val="22"/>
          <w:lang w:val="sr-Cyrl-BA"/>
        </w:rPr>
      </w:pPr>
      <w:r w:rsidRPr="00281D1F">
        <w:rPr>
          <w:rFonts w:asciiTheme="minorHAnsi" w:hAnsiTheme="minorHAnsi" w:cs="Calibri"/>
          <w:sz w:val="22"/>
          <w:szCs w:val="22"/>
          <w:lang w:val="sr-Cyrl-BA"/>
        </w:rPr>
        <w:t>Regulatorna komisija je, krajem 202</w:t>
      </w:r>
      <w:r>
        <w:rPr>
          <w:rFonts w:asciiTheme="minorHAnsi" w:hAnsiTheme="minorHAnsi" w:cs="Calibri"/>
          <w:sz w:val="22"/>
          <w:szCs w:val="22"/>
          <w:lang w:val="sr-Cyrl-BA"/>
        </w:rPr>
        <w:t>4</w:t>
      </w:r>
      <w:r w:rsidRPr="00281D1F">
        <w:rPr>
          <w:rFonts w:asciiTheme="minorHAnsi" w:hAnsiTheme="minorHAnsi" w:cs="Calibri"/>
          <w:sz w:val="22"/>
          <w:szCs w:val="22"/>
          <w:lang w:val="sr-Cyrl-BA"/>
        </w:rPr>
        <w:t>. godine, donijela Odluku o visini naknade za podsticanje proizvodnje električne energije iz obnovljivih izvora koja će se primjenjivati u 202</w:t>
      </w:r>
      <w:r>
        <w:rPr>
          <w:rFonts w:asciiTheme="minorHAnsi" w:hAnsiTheme="minorHAnsi" w:cs="Calibri"/>
          <w:sz w:val="22"/>
          <w:szCs w:val="22"/>
          <w:lang w:val="sr-Cyrl-BA"/>
        </w:rPr>
        <w:t>5</w:t>
      </w:r>
      <w:r w:rsidRPr="00281D1F">
        <w:rPr>
          <w:rFonts w:asciiTheme="minorHAnsi" w:hAnsiTheme="minorHAnsi" w:cs="Calibri"/>
          <w:sz w:val="22"/>
          <w:szCs w:val="22"/>
          <w:lang w:val="sr-Cyrl-BA"/>
        </w:rPr>
        <w:t>. godini, pri čemu je iznos naknade ostao nepromijenjen i iznosi 0,0007 KM/kWh.</w:t>
      </w:r>
    </w:p>
    <w:p w:rsidR="005A1B74" w:rsidRPr="00281D1F" w:rsidRDefault="005A1B74" w:rsidP="002D1E7C">
      <w:pPr>
        <w:numPr>
          <w:ilvl w:val="0"/>
          <w:numId w:val="26"/>
        </w:numPr>
        <w:spacing w:before="240" w:after="120"/>
        <w:ind w:left="1077" w:hanging="357"/>
        <w:jc w:val="both"/>
        <w:rPr>
          <w:rFonts w:asciiTheme="minorHAnsi" w:hAnsiTheme="minorHAnsi" w:cs="Calibri"/>
          <w:i/>
          <w:sz w:val="22"/>
          <w:szCs w:val="22"/>
          <w:lang w:val="sr-Cyrl-BA"/>
        </w:rPr>
      </w:pPr>
      <w:r w:rsidRPr="00281D1F">
        <w:rPr>
          <w:rFonts w:asciiTheme="minorHAnsi" w:hAnsiTheme="minorHAnsi" w:cs="Calibri"/>
          <w:b/>
          <w:i/>
          <w:sz w:val="22"/>
          <w:szCs w:val="22"/>
          <w:lang w:val="sr-Cyrl-BA"/>
        </w:rPr>
        <w:t xml:space="preserve">Garantovane otkupne cijene i premije za električnu energiju proizvedenu iz obnovljivih izvora </w:t>
      </w:r>
    </w:p>
    <w:p w:rsidR="005A1B74" w:rsidRPr="00281D1F" w:rsidRDefault="005A1B74" w:rsidP="002D1E7C">
      <w:pPr>
        <w:spacing w:before="120" w:after="120"/>
        <w:jc w:val="both"/>
        <w:rPr>
          <w:rFonts w:asciiTheme="minorHAnsi" w:hAnsiTheme="minorHAnsi" w:cs="Arial"/>
          <w:sz w:val="22"/>
          <w:szCs w:val="22"/>
          <w:lang w:val="sr-Cyrl-BA"/>
        </w:rPr>
      </w:pPr>
      <w:r w:rsidRPr="00281D1F">
        <w:rPr>
          <w:rFonts w:asciiTheme="minorHAnsi" w:hAnsiTheme="minorHAnsi" w:cs="Arial"/>
          <w:sz w:val="22"/>
          <w:szCs w:val="22"/>
          <w:lang w:val="sr-Cyrl-BA"/>
        </w:rPr>
        <w:t>Na osnovu odredbi člana 31. stav (1) i (6) Zakona o obnovljivim izvorima energije, Regulatorna komisija, uz saglasnost Vlade Republike Srpske, donosi odluku o visini garantovanih otkupnih cijena za električnu energiju iz obnovljivih izvora i najmanje jednom godišnje provjerava nivo garantovanih otkupnih cijena i premija za mala postrojenja.</w:t>
      </w:r>
    </w:p>
    <w:p w:rsidR="005A1B74" w:rsidRPr="00281D1F" w:rsidRDefault="005A1B74" w:rsidP="002D1E7C">
      <w:pPr>
        <w:spacing w:before="120" w:after="120"/>
        <w:jc w:val="both"/>
        <w:rPr>
          <w:rFonts w:asciiTheme="minorHAnsi" w:hAnsiTheme="minorHAnsi" w:cs="Arial"/>
          <w:sz w:val="22"/>
          <w:szCs w:val="22"/>
          <w:lang w:val="sr-Cyrl-BA"/>
        </w:rPr>
      </w:pPr>
      <w:r w:rsidRPr="00281D1F">
        <w:rPr>
          <w:rFonts w:asciiTheme="minorHAnsi" w:hAnsiTheme="minorHAnsi" w:cs="Arial"/>
          <w:sz w:val="22"/>
          <w:szCs w:val="22"/>
          <w:lang w:val="sr-Cyrl-BA"/>
        </w:rPr>
        <w:t>Tokom 202</w:t>
      </w:r>
      <w:r>
        <w:rPr>
          <w:rFonts w:asciiTheme="minorHAnsi" w:hAnsiTheme="minorHAnsi" w:cs="Arial"/>
          <w:sz w:val="22"/>
          <w:szCs w:val="22"/>
          <w:lang w:val="sr-Cyrl-BA"/>
        </w:rPr>
        <w:t>4</w:t>
      </w:r>
      <w:r w:rsidRPr="00281D1F">
        <w:rPr>
          <w:rFonts w:asciiTheme="minorHAnsi" w:hAnsiTheme="minorHAnsi" w:cs="Arial"/>
          <w:sz w:val="22"/>
          <w:szCs w:val="22"/>
          <w:lang w:val="sr-Cyrl-BA"/>
        </w:rPr>
        <w:t xml:space="preserve">. godine primjenjivala se Odluka o visini garantovanih otkupnih cijena za električnu energiju iz obnovljivih izvora, koja je objavljena u Službenom glasniku Republike Srpske, broj 78/22. </w:t>
      </w:r>
    </w:p>
    <w:p w:rsidR="005A1B74" w:rsidRPr="00281D1F" w:rsidRDefault="005A1B74" w:rsidP="002D1E7C">
      <w:pPr>
        <w:numPr>
          <w:ilvl w:val="0"/>
          <w:numId w:val="26"/>
        </w:numPr>
        <w:spacing w:before="240" w:after="120"/>
        <w:ind w:left="1077" w:hanging="357"/>
        <w:jc w:val="both"/>
        <w:rPr>
          <w:rFonts w:asciiTheme="minorHAnsi" w:hAnsiTheme="minorHAnsi" w:cs="Calibri"/>
          <w:i/>
          <w:sz w:val="22"/>
          <w:szCs w:val="22"/>
          <w:lang w:val="sr-Cyrl-BA"/>
        </w:rPr>
      </w:pPr>
      <w:r w:rsidRPr="00281D1F">
        <w:rPr>
          <w:rFonts w:asciiTheme="minorHAnsi" w:hAnsiTheme="minorHAnsi" w:cs="Calibri"/>
          <w:i/>
          <w:sz w:val="22"/>
          <w:szCs w:val="22"/>
          <w:lang w:val="sr-Cyrl-BA"/>
        </w:rPr>
        <w:t>Referentna tržišna cijena u sistemu podsticaja</w:t>
      </w:r>
    </w:p>
    <w:p w:rsidR="005A1B74" w:rsidRPr="00281D1F" w:rsidRDefault="005A1B74" w:rsidP="002D1E7C">
      <w:pPr>
        <w:spacing w:before="120" w:after="120"/>
        <w:jc w:val="both"/>
        <w:rPr>
          <w:rFonts w:asciiTheme="minorHAnsi" w:hAnsiTheme="minorHAnsi" w:cs="Arial"/>
          <w:sz w:val="22"/>
          <w:szCs w:val="22"/>
          <w:lang w:val="sr-Cyrl-BA"/>
        </w:rPr>
      </w:pPr>
      <w:r w:rsidRPr="00281D1F">
        <w:rPr>
          <w:rFonts w:asciiTheme="minorHAnsi" w:hAnsiTheme="minorHAnsi" w:cs="Arial"/>
          <w:sz w:val="22"/>
          <w:szCs w:val="22"/>
          <w:lang w:val="sr-Cyrl-BA"/>
        </w:rPr>
        <w:t>Na osnovu odredbe člana 31. stav (5) Zakona o obnovljivim izvorima energije</w:t>
      </w:r>
      <w:r>
        <w:rPr>
          <w:rFonts w:asciiTheme="minorHAnsi" w:hAnsiTheme="minorHAnsi" w:cs="Arial"/>
          <w:sz w:val="22"/>
          <w:szCs w:val="22"/>
          <w:lang w:val="sr-Cyrl-BA"/>
        </w:rPr>
        <w:t>,</w:t>
      </w:r>
      <w:r w:rsidRPr="00281D1F">
        <w:rPr>
          <w:rFonts w:asciiTheme="minorHAnsi" w:hAnsiTheme="minorHAnsi" w:cs="Arial"/>
          <w:sz w:val="22"/>
          <w:szCs w:val="22"/>
          <w:lang w:val="sr-Cyrl-BA"/>
        </w:rPr>
        <w:t xml:space="preserve"> Regulatorna komisija utvrđuje referentnu tržišnu cijenu, najkasnije do 10. u mjesecu za prethodni kvartal, kao prosječnu ostvarenu veleprodajnu cijenu ostvarenu u prethodnom kvartalu u Bosni i Hercegovini i/ili na dvije berze u zemljama u okruženju. </w:t>
      </w:r>
    </w:p>
    <w:p w:rsidR="005A1B74" w:rsidRPr="00281D1F" w:rsidRDefault="005A1B74" w:rsidP="002D1E7C">
      <w:pPr>
        <w:spacing w:before="120" w:after="120"/>
        <w:jc w:val="both"/>
        <w:rPr>
          <w:rFonts w:asciiTheme="minorHAnsi" w:hAnsiTheme="minorHAnsi" w:cs="Arial"/>
          <w:sz w:val="22"/>
          <w:szCs w:val="22"/>
          <w:lang w:val="sr-Cyrl-BA"/>
        </w:rPr>
      </w:pPr>
      <w:r w:rsidRPr="00281D1F">
        <w:rPr>
          <w:rFonts w:asciiTheme="minorHAnsi" w:hAnsiTheme="minorHAnsi" w:cs="Arial"/>
          <w:sz w:val="22"/>
          <w:szCs w:val="22"/>
          <w:lang w:val="sr-Cyrl-BA"/>
        </w:rPr>
        <w:t>U toku 202</w:t>
      </w:r>
      <w:r>
        <w:rPr>
          <w:rFonts w:asciiTheme="minorHAnsi" w:hAnsiTheme="minorHAnsi" w:cs="Arial"/>
          <w:sz w:val="22"/>
          <w:szCs w:val="22"/>
          <w:lang w:val="sr-Latn-BA"/>
        </w:rPr>
        <w:t>4</w:t>
      </w:r>
      <w:r w:rsidRPr="00281D1F">
        <w:rPr>
          <w:rFonts w:asciiTheme="minorHAnsi" w:hAnsiTheme="minorHAnsi" w:cs="Arial"/>
          <w:sz w:val="22"/>
          <w:szCs w:val="22"/>
          <w:lang w:val="sr-Cyrl-BA"/>
        </w:rPr>
        <w:t xml:space="preserve">. godine Regulatorna komisija je donijela četiri odluke i to: </w:t>
      </w:r>
    </w:p>
    <w:p w:rsidR="005A1B74" w:rsidRPr="00281D1F" w:rsidRDefault="005A1B74" w:rsidP="002D1E7C">
      <w:pPr>
        <w:pStyle w:val="ListParagraph"/>
        <w:numPr>
          <w:ilvl w:val="0"/>
          <w:numId w:val="27"/>
        </w:numPr>
        <w:ind w:left="714" w:hanging="357"/>
        <w:jc w:val="both"/>
        <w:rPr>
          <w:rFonts w:asciiTheme="minorHAnsi" w:hAnsiTheme="minorHAnsi" w:cs="Arial"/>
          <w:sz w:val="22"/>
          <w:szCs w:val="22"/>
          <w:lang w:val="sr-Cyrl-BA"/>
        </w:rPr>
      </w:pPr>
      <w:r w:rsidRPr="00281D1F">
        <w:rPr>
          <w:rFonts w:asciiTheme="minorHAnsi" w:hAnsiTheme="minorHAnsi" w:cs="Arial"/>
          <w:sz w:val="22"/>
          <w:szCs w:val="22"/>
          <w:lang w:val="sr-Cyrl-BA"/>
        </w:rPr>
        <w:lastRenderedPageBreak/>
        <w:t>Odluku o visini referentne tržišne cijene električne energije u sistemu podsticaja za I kvartal u iznosu od 0,</w:t>
      </w:r>
      <w:r>
        <w:rPr>
          <w:rFonts w:asciiTheme="minorHAnsi" w:hAnsiTheme="minorHAnsi" w:cs="Arial"/>
          <w:sz w:val="22"/>
          <w:szCs w:val="22"/>
          <w:lang w:val="sr-Latn-BA"/>
        </w:rPr>
        <w:t>1859</w:t>
      </w:r>
      <w:r w:rsidRPr="00281D1F">
        <w:rPr>
          <w:rFonts w:asciiTheme="minorHAnsi" w:hAnsiTheme="minorHAnsi" w:cs="Arial"/>
          <w:sz w:val="22"/>
          <w:szCs w:val="22"/>
          <w:lang w:val="sr-Cyrl-BA"/>
        </w:rPr>
        <w:t xml:space="preserve"> KM/kWh (Službeni glasnik Republike Srpske, broj 1</w:t>
      </w:r>
      <w:r>
        <w:rPr>
          <w:rFonts w:asciiTheme="minorHAnsi" w:hAnsiTheme="minorHAnsi" w:cs="Arial"/>
          <w:sz w:val="22"/>
          <w:szCs w:val="22"/>
          <w:lang w:val="sr-Latn-BA"/>
        </w:rPr>
        <w:t>3</w:t>
      </w:r>
      <w:r w:rsidRPr="00281D1F">
        <w:rPr>
          <w:rFonts w:asciiTheme="minorHAnsi" w:hAnsiTheme="minorHAnsi" w:cs="Arial"/>
          <w:sz w:val="22"/>
          <w:szCs w:val="22"/>
          <w:lang w:val="sr-Cyrl-BA"/>
        </w:rPr>
        <w:t>/2</w:t>
      </w:r>
      <w:r>
        <w:rPr>
          <w:rFonts w:asciiTheme="minorHAnsi" w:hAnsiTheme="minorHAnsi" w:cs="Arial"/>
          <w:sz w:val="22"/>
          <w:szCs w:val="22"/>
          <w:lang w:val="sr-Latn-BA"/>
        </w:rPr>
        <w:t>4</w:t>
      </w:r>
      <w:r w:rsidRPr="00281D1F">
        <w:rPr>
          <w:rFonts w:asciiTheme="minorHAnsi" w:hAnsiTheme="minorHAnsi" w:cs="Arial"/>
          <w:sz w:val="22"/>
          <w:szCs w:val="22"/>
          <w:lang w:val="sr-Cyrl-BA"/>
        </w:rPr>
        <w:t>),</w:t>
      </w:r>
    </w:p>
    <w:p w:rsidR="005A1B74" w:rsidRPr="00281D1F" w:rsidRDefault="005A1B74" w:rsidP="002D1E7C">
      <w:pPr>
        <w:pStyle w:val="ListParagraph"/>
        <w:numPr>
          <w:ilvl w:val="0"/>
          <w:numId w:val="27"/>
        </w:numPr>
        <w:ind w:left="714" w:hanging="357"/>
        <w:jc w:val="both"/>
        <w:rPr>
          <w:rFonts w:asciiTheme="minorHAnsi" w:hAnsiTheme="minorHAnsi" w:cs="Arial"/>
          <w:sz w:val="22"/>
          <w:szCs w:val="22"/>
          <w:lang w:val="sr-Cyrl-BA"/>
        </w:rPr>
      </w:pPr>
      <w:r w:rsidRPr="00281D1F">
        <w:rPr>
          <w:rFonts w:asciiTheme="minorHAnsi" w:hAnsiTheme="minorHAnsi" w:cs="Arial"/>
          <w:sz w:val="22"/>
          <w:szCs w:val="22"/>
          <w:lang w:val="sr-Cyrl-BA"/>
        </w:rPr>
        <w:t>Odluku o visini referentne tržišne cijene električne energije u sistemu podsticaja za II kvartal u iznosu od 0,</w:t>
      </w:r>
      <w:r>
        <w:rPr>
          <w:rFonts w:asciiTheme="minorHAnsi" w:hAnsiTheme="minorHAnsi" w:cs="Arial"/>
          <w:sz w:val="22"/>
          <w:szCs w:val="22"/>
          <w:lang w:val="sr-Latn-BA"/>
        </w:rPr>
        <w:t>1446</w:t>
      </w:r>
      <w:r w:rsidRPr="00281D1F">
        <w:rPr>
          <w:rFonts w:asciiTheme="minorHAnsi" w:hAnsiTheme="minorHAnsi" w:cs="Arial"/>
          <w:sz w:val="22"/>
          <w:szCs w:val="22"/>
          <w:lang w:val="sr-Cyrl-BA"/>
        </w:rPr>
        <w:t xml:space="preserve"> KM/kWh (Službeni glasnik Republike Srpske, broj </w:t>
      </w:r>
      <w:r>
        <w:rPr>
          <w:rFonts w:asciiTheme="minorHAnsi" w:hAnsiTheme="minorHAnsi" w:cs="Arial"/>
          <w:sz w:val="22"/>
          <w:szCs w:val="22"/>
          <w:lang w:val="sr-Latn-BA"/>
        </w:rPr>
        <w:t>37</w:t>
      </w:r>
      <w:r w:rsidRPr="00281D1F">
        <w:rPr>
          <w:rFonts w:asciiTheme="minorHAnsi" w:hAnsiTheme="minorHAnsi" w:cs="Arial"/>
          <w:sz w:val="22"/>
          <w:szCs w:val="22"/>
          <w:lang w:val="sr-Cyrl-BA"/>
        </w:rPr>
        <w:t>/2</w:t>
      </w:r>
      <w:r>
        <w:rPr>
          <w:rFonts w:asciiTheme="minorHAnsi" w:hAnsiTheme="minorHAnsi" w:cs="Arial"/>
          <w:sz w:val="22"/>
          <w:szCs w:val="22"/>
          <w:lang w:val="sr-Latn-BA"/>
        </w:rPr>
        <w:t>4</w:t>
      </w:r>
      <w:r w:rsidRPr="00281D1F">
        <w:rPr>
          <w:rFonts w:asciiTheme="minorHAnsi" w:hAnsiTheme="minorHAnsi" w:cs="Arial"/>
          <w:sz w:val="22"/>
          <w:szCs w:val="22"/>
          <w:lang w:val="sr-Cyrl-BA"/>
        </w:rPr>
        <w:t xml:space="preserve">),  </w:t>
      </w:r>
    </w:p>
    <w:p w:rsidR="005A1B74" w:rsidRPr="00281D1F" w:rsidRDefault="005A1B74" w:rsidP="002D1E7C">
      <w:pPr>
        <w:pStyle w:val="ListParagraph"/>
        <w:numPr>
          <w:ilvl w:val="0"/>
          <w:numId w:val="27"/>
        </w:numPr>
        <w:ind w:left="714" w:hanging="357"/>
        <w:jc w:val="both"/>
        <w:rPr>
          <w:rFonts w:asciiTheme="minorHAnsi" w:hAnsiTheme="minorHAnsi" w:cs="Arial"/>
          <w:sz w:val="22"/>
          <w:szCs w:val="22"/>
          <w:lang w:val="sr-Cyrl-BA"/>
        </w:rPr>
      </w:pPr>
      <w:r w:rsidRPr="00281D1F">
        <w:rPr>
          <w:rFonts w:asciiTheme="minorHAnsi" w:hAnsiTheme="minorHAnsi" w:cs="Arial"/>
          <w:sz w:val="22"/>
          <w:szCs w:val="22"/>
          <w:lang w:val="sr-Cyrl-BA"/>
        </w:rPr>
        <w:t>Odluku o visini referentne tržišne cijene električne energije u sistemu podsticaja za III kvartal u iznosu od 0,1</w:t>
      </w:r>
      <w:r>
        <w:rPr>
          <w:rFonts w:asciiTheme="minorHAnsi" w:hAnsiTheme="minorHAnsi" w:cs="Arial"/>
          <w:sz w:val="22"/>
          <w:szCs w:val="22"/>
          <w:lang w:val="sr-Latn-BA"/>
        </w:rPr>
        <w:t>476</w:t>
      </w:r>
      <w:r w:rsidRPr="00281D1F">
        <w:rPr>
          <w:rFonts w:asciiTheme="minorHAnsi" w:hAnsiTheme="minorHAnsi" w:cs="Arial"/>
          <w:sz w:val="22"/>
          <w:szCs w:val="22"/>
          <w:lang w:val="sr-Cyrl-BA"/>
        </w:rPr>
        <w:t xml:space="preserve"> KM/kWh (Službeni glasnik Republike Srpske, broj 6</w:t>
      </w:r>
      <w:r>
        <w:rPr>
          <w:rFonts w:asciiTheme="minorHAnsi" w:hAnsiTheme="minorHAnsi" w:cs="Arial"/>
          <w:sz w:val="22"/>
          <w:szCs w:val="22"/>
          <w:lang w:val="sr-Latn-BA"/>
        </w:rPr>
        <w:t>2</w:t>
      </w:r>
      <w:r w:rsidRPr="00281D1F">
        <w:rPr>
          <w:rFonts w:asciiTheme="minorHAnsi" w:hAnsiTheme="minorHAnsi" w:cs="Arial"/>
          <w:sz w:val="22"/>
          <w:szCs w:val="22"/>
          <w:lang w:val="sr-Cyrl-BA"/>
        </w:rPr>
        <w:t>/2</w:t>
      </w:r>
      <w:r>
        <w:rPr>
          <w:rFonts w:asciiTheme="minorHAnsi" w:hAnsiTheme="minorHAnsi" w:cs="Arial"/>
          <w:sz w:val="22"/>
          <w:szCs w:val="22"/>
          <w:lang w:val="sr-Latn-BA"/>
        </w:rPr>
        <w:t>4</w:t>
      </w:r>
      <w:r w:rsidRPr="00281D1F">
        <w:rPr>
          <w:rFonts w:asciiTheme="minorHAnsi" w:hAnsiTheme="minorHAnsi" w:cs="Arial"/>
          <w:sz w:val="22"/>
          <w:szCs w:val="22"/>
          <w:lang w:val="sr-Cyrl-BA"/>
        </w:rPr>
        <w:t xml:space="preserve">) i </w:t>
      </w:r>
    </w:p>
    <w:p w:rsidR="005A1B74" w:rsidRPr="00281D1F" w:rsidRDefault="005A1B74" w:rsidP="002D1E7C">
      <w:pPr>
        <w:pStyle w:val="ListParagraph"/>
        <w:numPr>
          <w:ilvl w:val="0"/>
          <w:numId w:val="27"/>
        </w:numPr>
        <w:ind w:left="714" w:hanging="357"/>
        <w:jc w:val="both"/>
        <w:rPr>
          <w:rFonts w:asciiTheme="minorHAnsi" w:hAnsiTheme="minorHAnsi" w:cs="Arial"/>
          <w:sz w:val="22"/>
          <w:szCs w:val="22"/>
          <w:lang w:val="sr-Cyrl-BA"/>
        </w:rPr>
      </w:pPr>
      <w:r w:rsidRPr="00281D1F">
        <w:rPr>
          <w:rFonts w:asciiTheme="minorHAnsi" w:hAnsiTheme="minorHAnsi" w:cs="Arial"/>
          <w:sz w:val="22"/>
          <w:szCs w:val="22"/>
          <w:lang w:val="sr-Cyrl-BA"/>
        </w:rPr>
        <w:t>Odluku o visini referentne tržišne cijene električne energije u sistemu podsticaja za IV kvartal u iznosu od 0,</w:t>
      </w:r>
      <w:r>
        <w:rPr>
          <w:rFonts w:asciiTheme="minorHAnsi" w:hAnsiTheme="minorHAnsi" w:cs="Arial"/>
          <w:sz w:val="22"/>
          <w:szCs w:val="22"/>
          <w:lang w:val="sr-Latn-BA"/>
        </w:rPr>
        <w:t>2304</w:t>
      </w:r>
      <w:r w:rsidRPr="00281D1F">
        <w:rPr>
          <w:rFonts w:asciiTheme="minorHAnsi" w:hAnsiTheme="minorHAnsi" w:cs="Arial"/>
          <w:sz w:val="22"/>
          <w:szCs w:val="22"/>
          <w:lang w:val="sr-Cyrl-BA"/>
        </w:rPr>
        <w:t xml:space="preserve"> KM/kWh (Službeni glasnik Republike Srpske, broj 9</w:t>
      </w:r>
      <w:r>
        <w:rPr>
          <w:rFonts w:asciiTheme="minorHAnsi" w:hAnsiTheme="minorHAnsi" w:cs="Arial"/>
          <w:sz w:val="22"/>
          <w:szCs w:val="22"/>
          <w:lang w:val="sr-Latn-BA"/>
        </w:rPr>
        <w:t>2</w:t>
      </w:r>
      <w:r w:rsidRPr="00281D1F">
        <w:rPr>
          <w:rFonts w:asciiTheme="minorHAnsi" w:hAnsiTheme="minorHAnsi" w:cs="Arial"/>
          <w:sz w:val="22"/>
          <w:szCs w:val="22"/>
          <w:lang w:val="sr-Cyrl-BA"/>
        </w:rPr>
        <w:t>/2</w:t>
      </w:r>
      <w:r>
        <w:rPr>
          <w:rFonts w:asciiTheme="minorHAnsi" w:hAnsiTheme="minorHAnsi" w:cs="Arial"/>
          <w:sz w:val="22"/>
          <w:szCs w:val="22"/>
          <w:lang w:val="sr-Latn-BA"/>
        </w:rPr>
        <w:t>4</w:t>
      </w:r>
      <w:r w:rsidRPr="00281D1F">
        <w:rPr>
          <w:rFonts w:asciiTheme="minorHAnsi" w:hAnsiTheme="minorHAnsi" w:cs="Arial"/>
          <w:sz w:val="22"/>
          <w:szCs w:val="22"/>
          <w:lang w:val="sr-Cyrl-BA"/>
        </w:rPr>
        <w:t>).</w:t>
      </w:r>
    </w:p>
    <w:p w:rsidR="005A1B74" w:rsidRPr="00ED6AB0" w:rsidRDefault="005A1B74" w:rsidP="002D1E7C">
      <w:pPr>
        <w:spacing w:before="120" w:after="120"/>
        <w:jc w:val="both"/>
        <w:rPr>
          <w:rFonts w:asciiTheme="minorHAnsi" w:hAnsiTheme="minorHAnsi" w:cs="Arial"/>
          <w:sz w:val="22"/>
          <w:szCs w:val="22"/>
          <w:lang w:val="sr-Cyrl-BA"/>
        </w:rPr>
      </w:pPr>
      <w:r w:rsidRPr="00281D1F">
        <w:rPr>
          <w:rFonts w:asciiTheme="minorHAnsi" w:hAnsiTheme="minorHAnsi" w:cs="Arial"/>
          <w:sz w:val="22"/>
          <w:szCs w:val="22"/>
          <w:lang w:val="sr-Cyrl-BA"/>
        </w:rPr>
        <w:t xml:space="preserve">Navedena cijena se koristi za obračun premije proizvođačima koji ostvaruju pravo na premiju za električnu energiju prodatu na tržištu ili utrošenu za vlastite potrebe, pri čemu se premija utvrđuje kao razlika između odgovarajuće garantovane otkupne cijene i referentne </w:t>
      </w:r>
      <w:r w:rsidRPr="00ED6AB0">
        <w:rPr>
          <w:rFonts w:asciiTheme="minorHAnsi" w:hAnsiTheme="minorHAnsi" w:cs="Arial"/>
          <w:sz w:val="22"/>
          <w:szCs w:val="22"/>
          <w:lang w:val="sr-Cyrl-BA"/>
        </w:rPr>
        <w:t>tržišne cijene.</w:t>
      </w:r>
    </w:p>
    <w:p w:rsidR="005A1B74" w:rsidRPr="00ED6AB0" w:rsidRDefault="005A1B74" w:rsidP="002D1E7C">
      <w:pPr>
        <w:pStyle w:val="Heading3"/>
        <w:numPr>
          <w:ilvl w:val="2"/>
          <w:numId w:val="31"/>
        </w:numPr>
        <w:spacing w:after="240"/>
        <w:ind w:left="0" w:firstLine="0"/>
        <w:rPr>
          <w:rFonts w:asciiTheme="minorHAnsi" w:hAnsiTheme="minorHAnsi"/>
          <w:sz w:val="24"/>
          <w:lang w:val="sr-Cyrl-BA"/>
        </w:rPr>
      </w:pPr>
      <w:bookmarkStart w:id="91" w:name="_Toc210301157"/>
      <w:r w:rsidRPr="00ED6AB0">
        <w:rPr>
          <w:rFonts w:asciiTheme="minorHAnsi" w:hAnsiTheme="minorHAnsi"/>
          <w:sz w:val="24"/>
          <w:lang w:val="sr-Cyrl-BA"/>
        </w:rPr>
        <w:t>Pravo na podsticaj proizvodnje električne energije iz obnovljivih izvora</w:t>
      </w:r>
      <w:bookmarkEnd w:id="91"/>
      <w:r w:rsidRPr="00ED6AB0">
        <w:rPr>
          <w:rFonts w:asciiTheme="minorHAnsi" w:hAnsiTheme="minorHAnsi"/>
          <w:sz w:val="24"/>
          <w:lang w:val="sr-Cyrl-BA"/>
        </w:rPr>
        <w:t xml:space="preserve"> </w:t>
      </w:r>
    </w:p>
    <w:p w:rsidR="005A1B74" w:rsidRPr="000724C1" w:rsidRDefault="005A1B74" w:rsidP="002D1E7C">
      <w:pPr>
        <w:spacing w:before="120" w:after="120"/>
        <w:jc w:val="both"/>
        <w:rPr>
          <w:rFonts w:asciiTheme="minorHAnsi" w:hAnsiTheme="minorHAnsi"/>
          <w:sz w:val="22"/>
          <w:szCs w:val="22"/>
          <w:lang w:val="sr-Cyrl-BA"/>
        </w:rPr>
      </w:pPr>
      <w:bookmarkStart w:id="92" w:name="_Toc323850068"/>
      <w:bookmarkStart w:id="93" w:name="_Toc358640039"/>
      <w:bookmarkStart w:id="94" w:name="_Toc358640257"/>
      <w:bookmarkStart w:id="95" w:name="_Toc358640475"/>
      <w:bookmarkStart w:id="96" w:name="_Toc358640899"/>
      <w:bookmarkEnd w:id="92"/>
      <w:r w:rsidRPr="00ED6AB0">
        <w:rPr>
          <w:rFonts w:asciiTheme="minorHAnsi" w:hAnsiTheme="minorHAnsi"/>
          <w:sz w:val="22"/>
          <w:szCs w:val="22"/>
          <w:lang w:val="sr-Cyrl-BA"/>
        </w:rPr>
        <w:t>Regulatorna komisija je u toku 2024. godine razmatrala zahtjeve za odobrenje preliminarog prava na podsticaj za proizvodna postrojenja koja su u izgradnji i zahtjeve za odbrenje prava na podsticaj za izgrađene elektrane. Program o korišćenju obnovljivih izvora energije (Službeni glasnik 16/24) objavljen je 20. februara 2024. godine, čime su se stvorili uslovi da se razmatraju</w:t>
      </w:r>
      <w:r>
        <w:rPr>
          <w:rFonts w:asciiTheme="minorHAnsi" w:hAnsiTheme="minorHAnsi"/>
          <w:sz w:val="22"/>
          <w:szCs w:val="22"/>
          <w:lang w:val="sr-Cyrl-BA"/>
        </w:rPr>
        <w:t xml:space="preserve"> zahtjevi za odobrenje prava na podsticaj za električnu energiju iz malih solarnih elektrana. Tokom 2024. godine, Regulatorna komisija je razmatrala zahtjeve i donijela 142 rješenja o odobrenju prava na podsticaj i 522 rješenja o odobrenju preliminarnog prava na </w:t>
      </w:r>
      <w:r w:rsidRPr="00837694">
        <w:rPr>
          <w:rFonts w:asciiTheme="minorHAnsi" w:hAnsiTheme="minorHAnsi"/>
          <w:sz w:val="22"/>
          <w:szCs w:val="22"/>
          <w:lang w:val="sr-Cyrl-BA"/>
        </w:rPr>
        <w:t xml:space="preserve">podsticaj za male solarne elektrane. </w:t>
      </w:r>
      <w:r w:rsidRPr="000724C1">
        <w:rPr>
          <w:rFonts w:asciiTheme="minorHAnsi" w:hAnsiTheme="minorHAnsi"/>
          <w:sz w:val="22"/>
          <w:szCs w:val="22"/>
          <w:lang w:val="sr-Cyrl-BA"/>
        </w:rPr>
        <w:t xml:space="preserve">Regulatorna komisija je donosila zaključke o odbacivanju zahtjeva za odobrenje preliminarnog prava na podsticaj za sve male solarne elektrane kojima su izdate upotrebne dozvole. </w:t>
      </w:r>
    </w:p>
    <w:p w:rsidR="005A1B74" w:rsidRPr="00281D1F" w:rsidRDefault="005A1B74" w:rsidP="002D1E7C">
      <w:pPr>
        <w:spacing w:before="120" w:after="120"/>
        <w:jc w:val="both"/>
        <w:rPr>
          <w:rFonts w:asciiTheme="minorHAnsi" w:hAnsiTheme="minorHAnsi"/>
          <w:sz w:val="22"/>
          <w:szCs w:val="22"/>
          <w:lang w:val="sr-Cyrl-BA"/>
        </w:rPr>
      </w:pPr>
      <w:r w:rsidRPr="000724C1">
        <w:rPr>
          <w:rFonts w:asciiTheme="minorHAnsi" w:hAnsiTheme="minorHAnsi"/>
          <w:sz w:val="22"/>
          <w:szCs w:val="22"/>
          <w:lang w:val="sr-Cyrl-BA"/>
        </w:rPr>
        <w:t>Pored ovih zahtjeva</w:t>
      </w:r>
      <w:r>
        <w:rPr>
          <w:rFonts w:asciiTheme="minorHAnsi" w:hAnsiTheme="minorHAnsi"/>
          <w:sz w:val="22"/>
          <w:szCs w:val="22"/>
          <w:lang w:val="sr-Cyrl-BA"/>
        </w:rPr>
        <w:t>,</w:t>
      </w:r>
      <w:r w:rsidRPr="000724C1">
        <w:rPr>
          <w:rFonts w:asciiTheme="minorHAnsi" w:hAnsiTheme="minorHAnsi"/>
          <w:sz w:val="22"/>
          <w:szCs w:val="22"/>
          <w:lang w:val="sr-Cyrl-BA"/>
        </w:rPr>
        <w:t xml:space="preserve"> odobreno je i jedno pravo na podsticaj </w:t>
      </w:r>
      <w:r>
        <w:rPr>
          <w:rFonts w:asciiTheme="minorHAnsi" w:hAnsiTheme="minorHAnsi"/>
          <w:sz w:val="22"/>
          <w:szCs w:val="22"/>
          <w:lang w:val="sr-Cyrl-BA"/>
        </w:rPr>
        <w:t>s</w:t>
      </w:r>
      <w:r w:rsidRPr="00837694">
        <w:rPr>
          <w:rFonts w:asciiTheme="minorHAnsi" w:hAnsiTheme="minorHAnsi"/>
          <w:sz w:val="22"/>
          <w:szCs w:val="22"/>
          <w:lang w:val="sr-Cyrl-BA"/>
        </w:rPr>
        <w:t xml:space="preserve">amostalnog preduzetnika „Mala hidroelektrana Otoke 1“ Dule Piljić, Šipovo </w:t>
      </w:r>
      <w:r w:rsidRPr="000724C1">
        <w:rPr>
          <w:rFonts w:asciiTheme="minorHAnsi" w:hAnsiTheme="minorHAnsi"/>
          <w:sz w:val="22"/>
          <w:szCs w:val="22"/>
          <w:lang w:val="sr-Cyrl-BA"/>
        </w:rPr>
        <w:t>za malu hidroelektranu</w:t>
      </w:r>
      <w:r>
        <w:rPr>
          <w:rFonts w:asciiTheme="minorHAnsi" w:hAnsiTheme="minorHAnsi"/>
          <w:sz w:val="22"/>
          <w:szCs w:val="22"/>
          <w:lang w:val="sr-Cyrl-BA"/>
        </w:rPr>
        <w:t xml:space="preserve"> „Otoke 1“.</w:t>
      </w:r>
      <w:r w:rsidRPr="000724C1">
        <w:rPr>
          <w:rFonts w:asciiTheme="minorHAnsi" w:hAnsiTheme="minorHAnsi"/>
          <w:sz w:val="22"/>
          <w:szCs w:val="22"/>
          <w:lang w:val="sr-Cyrl-BA"/>
        </w:rPr>
        <w:t xml:space="preserve"> Tokom 2024. godine</w:t>
      </w:r>
      <w:r>
        <w:rPr>
          <w:rFonts w:asciiTheme="minorHAnsi" w:hAnsiTheme="minorHAnsi"/>
          <w:sz w:val="22"/>
          <w:szCs w:val="22"/>
          <w:lang w:val="sr-Cyrl-BA"/>
        </w:rPr>
        <w:t xml:space="preserve">, </w:t>
      </w:r>
      <w:r w:rsidRPr="000724C1">
        <w:rPr>
          <w:rFonts w:asciiTheme="minorHAnsi" w:hAnsiTheme="minorHAnsi"/>
          <w:sz w:val="22"/>
          <w:szCs w:val="22"/>
          <w:lang w:val="sr-Cyrl-BA"/>
        </w:rPr>
        <w:t>nije bilo zahtjeva za odobrenje prava na posticaj ili preliminarnog prava na podsticaj za ostale tehnologije koje koriste obnovljive izvore energije, a čije podsticanje je predviđeno Zakonom o obnovljivim izvorima energije</w:t>
      </w:r>
      <w:r w:rsidRPr="000724C1">
        <w:rPr>
          <w:rFonts w:asciiTheme="minorHAnsi" w:hAnsiTheme="minorHAnsi"/>
          <w:sz w:val="22"/>
          <w:szCs w:val="22"/>
        </w:rPr>
        <w:t xml:space="preserve">. </w:t>
      </w:r>
      <w:r w:rsidRPr="002419C5">
        <w:rPr>
          <w:rFonts w:asciiTheme="minorHAnsi" w:hAnsiTheme="minorHAnsi"/>
          <w:sz w:val="22"/>
          <w:szCs w:val="22"/>
          <w:lang w:val="sr-Cyrl-BA"/>
        </w:rPr>
        <w:t xml:space="preserve">(Službeni glasnik 16/24) </w:t>
      </w:r>
      <w:r w:rsidRPr="00837694">
        <w:rPr>
          <w:rFonts w:asciiTheme="minorHAnsi" w:hAnsiTheme="minorHAnsi"/>
          <w:sz w:val="22"/>
          <w:szCs w:val="22"/>
          <w:lang w:val="sr-Cyrl-BA"/>
        </w:rPr>
        <w:t>(Službeni glasnik 16/24)</w:t>
      </w:r>
      <w:r>
        <w:rPr>
          <w:rFonts w:asciiTheme="minorHAnsi" w:hAnsiTheme="minorHAnsi"/>
          <w:sz w:val="22"/>
          <w:szCs w:val="22"/>
          <w:lang w:val="sr-Cyrl-BA"/>
        </w:rPr>
        <w:t xml:space="preserve">. </w:t>
      </w:r>
      <w:r w:rsidRPr="00837694">
        <w:rPr>
          <w:rFonts w:asciiTheme="minorHAnsi" w:hAnsiTheme="minorHAnsi"/>
          <w:sz w:val="22"/>
          <w:szCs w:val="22"/>
          <w:lang w:val="sr-Cyrl-BA"/>
        </w:rPr>
        <w:t>Podaci o elektranama za koje je Regulatorna komisija izdala rješenja o podsticaju i rješenja o pravu na podsticaj, nalaze se na internet stranici Regulatorne komisije www.reers.ba, u sekciji OBNOVLjIVI IZVORI.</w:t>
      </w:r>
    </w:p>
    <w:tbl>
      <w:tblPr>
        <w:tblStyle w:val="TableGrid"/>
        <w:tblW w:w="0" w:type="auto"/>
        <w:tblInd w:w="-113" w:type="dxa"/>
        <w:tblLook w:val="04A0" w:firstRow="1" w:lastRow="0" w:firstColumn="1" w:lastColumn="0" w:noHBand="0" w:noVBand="1"/>
      </w:tblPr>
      <w:tblGrid>
        <w:gridCol w:w="2336"/>
        <w:gridCol w:w="2336"/>
        <w:gridCol w:w="2336"/>
        <w:gridCol w:w="2336"/>
      </w:tblGrid>
      <w:tr w:rsidR="005A1B74" w:rsidRPr="00281D1F" w:rsidTr="002D1E7C">
        <w:trPr>
          <w:hidden/>
        </w:trPr>
        <w:tc>
          <w:tcPr>
            <w:tcW w:w="2336" w:type="dxa"/>
          </w:tcPr>
          <w:p w:rsidR="005A1B74" w:rsidRPr="00281D1F" w:rsidRDefault="005A1B74" w:rsidP="002D1E7C">
            <w:pPr>
              <w:jc w:val="both"/>
              <w:rPr>
                <w:rFonts w:asciiTheme="minorHAnsi" w:hAnsiTheme="minorHAnsi"/>
                <w:vanish/>
                <w:sz w:val="22"/>
                <w:szCs w:val="22"/>
                <w:lang w:val="sr-Cyrl-BA"/>
              </w:rPr>
            </w:pPr>
          </w:p>
        </w:tc>
        <w:tc>
          <w:tcPr>
            <w:tcW w:w="2336" w:type="dxa"/>
          </w:tcPr>
          <w:p w:rsidR="005A1B74" w:rsidRPr="00281D1F" w:rsidRDefault="005A1B74" w:rsidP="002D1E7C">
            <w:pPr>
              <w:jc w:val="both"/>
              <w:rPr>
                <w:rFonts w:asciiTheme="minorHAnsi" w:hAnsiTheme="minorHAnsi"/>
                <w:vanish/>
                <w:sz w:val="22"/>
                <w:szCs w:val="22"/>
                <w:lang w:val="sr-Cyrl-BA"/>
              </w:rPr>
            </w:pPr>
          </w:p>
        </w:tc>
        <w:tc>
          <w:tcPr>
            <w:tcW w:w="2336" w:type="dxa"/>
          </w:tcPr>
          <w:p w:rsidR="005A1B74" w:rsidRPr="00281D1F" w:rsidRDefault="005A1B74" w:rsidP="002D1E7C">
            <w:pPr>
              <w:jc w:val="both"/>
              <w:rPr>
                <w:rFonts w:asciiTheme="minorHAnsi" w:hAnsiTheme="minorHAnsi"/>
                <w:vanish/>
                <w:sz w:val="22"/>
                <w:szCs w:val="22"/>
                <w:lang w:val="sr-Cyrl-BA"/>
              </w:rPr>
            </w:pPr>
          </w:p>
        </w:tc>
        <w:tc>
          <w:tcPr>
            <w:tcW w:w="2336" w:type="dxa"/>
          </w:tcPr>
          <w:p w:rsidR="005A1B74" w:rsidRPr="00281D1F" w:rsidRDefault="005A1B74" w:rsidP="002D1E7C">
            <w:pPr>
              <w:jc w:val="both"/>
              <w:rPr>
                <w:rFonts w:asciiTheme="minorHAnsi" w:hAnsiTheme="minorHAnsi"/>
                <w:vanish/>
                <w:sz w:val="22"/>
                <w:szCs w:val="22"/>
                <w:lang w:val="sr-Cyrl-BA"/>
              </w:rPr>
            </w:pPr>
          </w:p>
        </w:tc>
      </w:tr>
      <w:tr w:rsidR="005A1B74" w:rsidRPr="00281D1F" w:rsidTr="002D1E7C">
        <w:trPr>
          <w:hidden/>
        </w:trPr>
        <w:tc>
          <w:tcPr>
            <w:tcW w:w="2336" w:type="dxa"/>
          </w:tcPr>
          <w:p w:rsidR="005A1B74" w:rsidRPr="00281D1F" w:rsidRDefault="005A1B74" w:rsidP="002D1E7C">
            <w:pPr>
              <w:jc w:val="both"/>
              <w:rPr>
                <w:rFonts w:asciiTheme="minorHAnsi" w:hAnsiTheme="minorHAnsi"/>
                <w:vanish/>
                <w:sz w:val="22"/>
                <w:szCs w:val="22"/>
                <w:lang w:val="sr-Cyrl-BA"/>
              </w:rPr>
            </w:pPr>
          </w:p>
        </w:tc>
        <w:tc>
          <w:tcPr>
            <w:tcW w:w="2336" w:type="dxa"/>
          </w:tcPr>
          <w:p w:rsidR="005A1B74" w:rsidRPr="00281D1F" w:rsidRDefault="005A1B74" w:rsidP="002D1E7C">
            <w:pPr>
              <w:jc w:val="both"/>
              <w:rPr>
                <w:rFonts w:asciiTheme="minorHAnsi" w:hAnsiTheme="minorHAnsi"/>
                <w:vanish/>
                <w:sz w:val="22"/>
                <w:szCs w:val="22"/>
                <w:lang w:val="sr-Cyrl-BA"/>
              </w:rPr>
            </w:pPr>
          </w:p>
        </w:tc>
        <w:tc>
          <w:tcPr>
            <w:tcW w:w="2336" w:type="dxa"/>
          </w:tcPr>
          <w:p w:rsidR="005A1B74" w:rsidRPr="00281D1F" w:rsidRDefault="005A1B74" w:rsidP="002D1E7C">
            <w:pPr>
              <w:jc w:val="both"/>
              <w:rPr>
                <w:rFonts w:asciiTheme="minorHAnsi" w:hAnsiTheme="minorHAnsi"/>
                <w:vanish/>
                <w:sz w:val="22"/>
                <w:szCs w:val="22"/>
                <w:lang w:val="sr-Cyrl-BA"/>
              </w:rPr>
            </w:pPr>
          </w:p>
        </w:tc>
        <w:tc>
          <w:tcPr>
            <w:tcW w:w="2336" w:type="dxa"/>
          </w:tcPr>
          <w:p w:rsidR="005A1B74" w:rsidRPr="00281D1F" w:rsidRDefault="005A1B74" w:rsidP="002D1E7C">
            <w:pPr>
              <w:jc w:val="both"/>
              <w:rPr>
                <w:rFonts w:asciiTheme="minorHAnsi" w:hAnsiTheme="minorHAnsi"/>
                <w:vanish/>
                <w:sz w:val="22"/>
                <w:szCs w:val="22"/>
                <w:lang w:val="sr-Cyrl-BA"/>
              </w:rPr>
            </w:pPr>
          </w:p>
        </w:tc>
      </w:tr>
      <w:tr w:rsidR="005A1B74" w:rsidRPr="00281D1F" w:rsidTr="002D1E7C">
        <w:trPr>
          <w:hidden/>
        </w:trPr>
        <w:tc>
          <w:tcPr>
            <w:tcW w:w="2336" w:type="dxa"/>
          </w:tcPr>
          <w:p w:rsidR="005A1B74" w:rsidRPr="00281D1F" w:rsidRDefault="005A1B74" w:rsidP="002D1E7C">
            <w:pPr>
              <w:jc w:val="both"/>
              <w:rPr>
                <w:rFonts w:asciiTheme="minorHAnsi" w:hAnsiTheme="minorHAnsi"/>
                <w:vanish/>
                <w:sz w:val="22"/>
                <w:szCs w:val="22"/>
                <w:lang w:val="sr-Cyrl-BA"/>
              </w:rPr>
            </w:pPr>
          </w:p>
        </w:tc>
        <w:tc>
          <w:tcPr>
            <w:tcW w:w="2336" w:type="dxa"/>
          </w:tcPr>
          <w:p w:rsidR="005A1B74" w:rsidRPr="00281D1F" w:rsidRDefault="005A1B74" w:rsidP="002D1E7C">
            <w:pPr>
              <w:jc w:val="both"/>
              <w:rPr>
                <w:rFonts w:asciiTheme="minorHAnsi" w:hAnsiTheme="minorHAnsi"/>
                <w:vanish/>
                <w:sz w:val="22"/>
                <w:szCs w:val="22"/>
                <w:lang w:val="sr-Cyrl-BA"/>
              </w:rPr>
            </w:pPr>
          </w:p>
        </w:tc>
        <w:tc>
          <w:tcPr>
            <w:tcW w:w="2336" w:type="dxa"/>
          </w:tcPr>
          <w:p w:rsidR="005A1B74" w:rsidRPr="00281D1F" w:rsidRDefault="005A1B74" w:rsidP="002D1E7C">
            <w:pPr>
              <w:jc w:val="both"/>
              <w:rPr>
                <w:rFonts w:asciiTheme="minorHAnsi" w:hAnsiTheme="minorHAnsi"/>
                <w:vanish/>
                <w:sz w:val="22"/>
                <w:szCs w:val="22"/>
                <w:lang w:val="sr-Cyrl-BA"/>
              </w:rPr>
            </w:pPr>
          </w:p>
        </w:tc>
        <w:tc>
          <w:tcPr>
            <w:tcW w:w="2336" w:type="dxa"/>
          </w:tcPr>
          <w:p w:rsidR="005A1B74" w:rsidRPr="00281D1F" w:rsidRDefault="005A1B74" w:rsidP="002D1E7C">
            <w:pPr>
              <w:jc w:val="both"/>
              <w:rPr>
                <w:rFonts w:asciiTheme="minorHAnsi" w:hAnsiTheme="minorHAnsi"/>
                <w:vanish/>
                <w:sz w:val="22"/>
                <w:szCs w:val="22"/>
                <w:lang w:val="sr-Cyrl-BA"/>
              </w:rPr>
            </w:pPr>
          </w:p>
        </w:tc>
      </w:tr>
    </w:tbl>
    <w:p w:rsidR="005A1B74" w:rsidRPr="00281D1F" w:rsidRDefault="005A1B74" w:rsidP="002D1E7C">
      <w:pPr>
        <w:pStyle w:val="Heading3"/>
        <w:numPr>
          <w:ilvl w:val="2"/>
          <w:numId w:val="31"/>
        </w:numPr>
        <w:spacing w:after="240"/>
        <w:ind w:left="0" w:firstLine="0"/>
        <w:rPr>
          <w:rFonts w:asciiTheme="minorHAnsi" w:hAnsiTheme="minorHAnsi"/>
          <w:sz w:val="24"/>
          <w:lang w:val="sr-Cyrl-BA"/>
        </w:rPr>
      </w:pPr>
      <w:bookmarkStart w:id="97" w:name="_Toc210301158"/>
      <w:r w:rsidRPr="00281D1F">
        <w:rPr>
          <w:rFonts w:asciiTheme="minorHAnsi" w:hAnsiTheme="minorHAnsi"/>
          <w:sz w:val="24"/>
          <w:lang w:val="sr-Cyrl-BA"/>
        </w:rPr>
        <w:t>Tržište električne energije</w:t>
      </w:r>
      <w:bookmarkEnd w:id="93"/>
      <w:bookmarkEnd w:id="94"/>
      <w:bookmarkEnd w:id="95"/>
      <w:bookmarkEnd w:id="96"/>
      <w:bookmarkEnd w:id="97"/>
    </w:p>
    <w:p w:rsidR="005A1B74" w:rsidRPr="00281D1F" w:rsidRDefault="005A1B74" w:rsidP="002D1E7C">
      <w:pPr>
        <w:spacing w:before="120"/>
        <w:jc w:val="both"/>
        <w:rPr>
          <w:rFonts w:asciiTheme="minorHAnsi" w:hAnsiTheme="minorHAnsi" w:cs="Arial"/>
          <w:sz w:val="22"/>
          <w:szCs w:val="22"/>
          <w:lang w:val="sr-Cyrl-BA"/>
        </w:rPr>
      </w:pPr>
      <w:r w:rsidRPr="00281D1F">
        <w:rPr>
          <w:rFonts w:asciiTheme="minorHAnsi" w:hAnsiTheme="minorHAnsi" w:cs="Arial"/>
          <w:sz w:val="22"/>
          <w:szCs w:val="22"/>
          <w:lang w:val="sr-Cyrl-BA"/>
        </w:rPr>
        <w:t>Djelatnosti koje se obavljaju u sektoru električne energije mogu se podijeliti na monopolske (mrežne djelatnosti - upravljanje prenosnom i distributivnom mrežom električne energije) i djelatnosti koje se mogu obavljati u tržišnim uslovima (proizvodnja, trgovina i snabdijevanje kupaca električnom energijom).</w:t>
      </w:r>
    </w:p>
    <w:p w:rsidR="005A1B74" w:rsidRPr="00281D1F" w:rsidRDefault="005A1B74" w:rsidP="002D1E7C">
      <w:pPr>
        <w:spacing w:before="120"/>
        <w:jc w:val="both"/>
        <w:rPr>
          <w:rFonts w:asciiTheme="minorHAnsi" w:hAnsiTheme="minorHAnsi" w:cs="Arial"/>
          <w:sz w:val="22"/>
          <w:szCs w:val="22"/>
          <w:lang w:val="sr-Cyrl-BA"/>
        </w:rPr>
      </w:pPr>
      <w:r w:rsidRPr="00281D1F">
        <w:rPr>
          <w:rFonts w:asciiTheme="minorHAnsi" w:hAnsiTheme="minorHAnsi" w:cs="Arial"/>
          <w:sz w:val="22"/>
          <w:szCs w:val="22"/>
          <w:lang w:val="sr-Cyrl-BA"/>
        </w:rPr>
        <w:t xml:space="preserve">„Monopolske“ djelatnosti su predmet potpune regulacije od strane nadležnog regulatornog tijela, dok </w:t>
      </w:r>
      <w:r w:rsidRPr="00281D1F">
        <w:rPr>
          <w:rFonts w:asciiTheme="minorHAnsi" w:hAnsiTheme="minorHAnsi" w:cs="Calibri"/>
          <w:sz w:val="22"/>
          <w:szCs w:val="22"/>
          <w:lang w:val="sr-Cyrl-BA"/>
        </w:rPr>
        <w:t>„</w:t>
      </w:r>
      <w:r w:rsidRPr="00281D1F">
        <w:rPr>
          <w:rFonts w:asciiTheme="minorHAnsi" w:hAnsiTheme="minorHAnsi" w:cs="Arial"/>
          <w:sz w:val="22"/>
          <w:szCs w:val="22"/>
          <w:lang w:val="sr-Cyrl-BA"/>
        </w:rPr>
        <w:t xml:space="preserve">tržišne” djelatnosti zahtijevaju uvođenje tržišnih mehanizama u kojima će se moći ostvariti njihov tržišni karakter. </w:t>
      </w:r>
    </w:p>
    <w:p w:rsidR="005A1B74" w:rsidRPr="00281D1F" w:rsidRDefault="005A1B74" w:rsidP="002D1E7C">
      <w:pPr>
        <w:spacing w:before="120"/>
        <w:jc w:val="both"/>
        <w:rPr>
          <w:rFonts w:asciiTheme="minorHAnsi" w:hAnsiTheme="minorHAnsi" w:cs="Calibri"/>
          <w:sz w:val="22"/>
          <w:szCs w:val="22"/>
          <w:lang w:val="sr-Cyrl-BA"/>
        </w:rPr>
      </w:pPr>
      <w:r w:rsidRPr="00281D1F">
        <w:rPr>
          <w:rFonts w:asciiTheme="minorHAnsi" w:hAnsiTheme="minorHAnsi" w:cs="Calibri"/>
          <w:sz w:val="22"/>
          <w:szCs w:val="22"/>
          <w:lang w:val="sr-Cyrl-BA"/>
        </w:rPr>
        <w:t>Ukidanjem monopolskog ponašanja kada su u pitanju proizvodnja, trgovina i snabdijevanje</w:t>
      </w:r>
      <w:r>
        <w:rPr>
          <w:rFonts w:asciiTheme="minorHAnsi" w:hAnsiTheme="minorHAnsi" w:cs="Calibri"/>
          <w:sz w:val="22"/>
          <w:szCs w:val="22"/>
          <w:lang w:val="sr-Cyrl-BA"/>
        </w:rPr>
        <w:t xml:space="preserve">, </w:t>
      </w:r>
      <w:r w:rsidRPr="00281D1F">
        <w:rPr>
          <w:rFonts w:asciiTheme="minorHAnsi" w:hAnsiTheme="minorHAnsi" w:cs="Calibri"/>
          <w:sz w:val="22"/>
          <w:szCs w:val="22"/>
          <w:lang w:val="sr-Cyrl-BA"/>
        </w:rPr>
        <w:t xml:space="preserve">daje se mogućnost izbora, kako za kupce tako i za proizvođače i snabdjevače, čime se stvaraju uslovi za konkurenciju na načelima nediskriminacije, ravnopravnosti i transparentnosti. </w:t>
      </w:r>
    </w:p>
    <w:p w:rsidR="005A1B74" w:rsidRPr="00281D1F" w:rsidRDefault="005A1B74" w:rsidP="002D1E7C">
      <w:pPr>
        <w:spacing w:before="120"/>
        <w:jc w:val="both"/>
        <w:rPr>
          <w:rFonts w:asciiTheme="minorHAnsi" w:hAnsiTheme="minorHAnsi" w:cs="Arial"/>
          <w:sz w:val="22"/>
          <w:szCs w:val="22"/>
          <w:lang w:val="sr-Cyrl-BA"/>
        </w:rPr>
      </w:pPr>
      <w:r w:rsidRPr="00281D1F">
        <w:rPr>
          <w:rFonts w:asciiTheme="minorHAnsi" w:hAnsiTheme="minorHAnsi" w:cs="Calibri"/>
          <w:sz w:val="22"/>
          <w:szCs w:val="22"/>
          <w:lang w:val="sr-Cyrl-BA"/>
        </w:rPr>
        <w:t>Regulacija cijena ostaje jedino kod određivanja cijena prenosa i distribucije energije (mrežarina) kao prirodnog monopola.</w:t>
      </w:r>
      <w:r w:rsidRPr="00281D1F">
        <w:rPr>
          <w:rFonts w:asciiTheme="minorHAnsi" w:hAnsiTheme="minorHAnsi" w:cs="Arial"/>
          <w:sz w:val="22"/>
          <w:szCs w:val="22"/>
          <w:lang w:val="sr-Cyrl-BA"/>
        </w:rPr>
        <w:t xml:space="preserve"> </w:t>
      </w:r>
    </w:p>
    <w:p w:rsidR="005A1B74" w:rsidRPr="00281D1F" w:rsidRDefault="005A1B74" w:rsidP="002D1E7C">
      <w:pPr>
        <w:spacing w:before="120"/>
        <w:jc w:val="both"/>
        <w:rPr>
          <w:rFonts w:asciiTheme="minorHAnsi" w:hAnsiTheme="minorHAnsi" w:cs="Arial"/>
          <w:sz w:val="22"/>
          <w:szCs w:val="22"/>
          <w:lang w:val="sr-Cyrl-BA"/>
        </w:rPr>
      </w:pPr>
      <w:r w:rsidRPr="00281D1F">
        <w:rPr>
          <w:rFonts w:asciiTheme="minorHAnsi" w:hAnsiTheme="minorHAnsi" w:cs="Arial"/>
          <w:sz w:val="22"/>
          <w:szCs w:val="22"/>
          <w:lang w:val="sr-Cyrl-BA"/>
        </w:rPr>
        <w:t>Jedan od osnovnih ciljeva otvorenog tržišta</w:t>
      </w:r>
      <w:r w:rsidRPr="00281D1F" w:rsidDel="00A20B5B">
        <w:rPr>
          <w:rFonts w:asciiTheme="minorHAnsi" w:hAnsiTheme="minorHAnsi" w:cs="Arial"/>
          <w:sz w:val="22"/>
          <w:szCs w:val="22"/>
          <w:lang w:val="sr-Cyrl-BA"/>
        </w:rPr>
        <w:t xml:space="preserve"> </w:t>
      </w:r>
      <w:r w:rsidRPr="00281D1F">
        <w:rPr>
          <w:rFonts w:asciiTheme="minorHAnsi" w:hAnsiTheme="minorHAnsi" w:cs="Arial"/>
          <w:sz w:val="22"/>
          <w:szCs w:val="22"/>
          <w:lang w:val="sr-Cyrl-BA"/>
        </w:rPr>
        <w:t xml:space="preserve">je pravo kupaca na izbor snabdjevača električnom energijom i obratno, omogućavanje jednakih, transparentnih i nepristrasnih uslova snabdjevačima da vrše djelatnost snabdijevanja kupaca električnom energijom. </w:t>
      </w:r>
    </w:p>
    <w:p w:rsidR="005A1B74" w:rsidRPr="00281D1F" w:rsidRDefault="005A1B74" w:rsidP="002D1E7C">
      <w:pPr>
        <w:spacing w:before="120" w:after="120"/>
        <w:jc w:val="both"/>
        <w:rPr>
          <w:rFonts w:asciiTheme="minorHAnsi" w:hAnsiTheme="minorHAnsi" w:cs="Arial"/>
          <w:sz w:val="22"/>
          <w:szCs w:val="22"/>
          <w:lang w:val="sr-Cyrl-BA"/>
        </w:rPr>
      </w:pPr>
      <w:r w:rsidRPr="00281D1F">
        <w:rPr>
          <w:rFonts w:asciiTheme="minorHAnsi" w:hAnsiTheme="minorHAnsi" w:cs="Arial"/>
          <w:sz w:val="22"/>
          <w:szCs w:val="22"/>
          <w:lang w:val="sr-Cyrl-BA"/>
        </w:rPr>
        <w:lastRenderedPageBreak/>
        <w:t>Razvoj maloprodajnog tržišta dodatno je osnažen donošenjem novog Zakona o električnoj energiji i početkom njegove primjene 1. januara 2021. godine.</w:t>
      </w:r>
    </w:p>
    <w:p w:rsidR="005A1B74" w:rsidRPr="00281D1F" w:rsidRDefault="005A1B74" w:rsidP="002D1E7C">
      <w:pPr>
        <w:spacing w:before="120" w:after="120"/>
        <w:jc w:val="both"/>
        <w:rPr>
          <w:rFonts w:asciiTheme="minorHAnsi" w:hAnsiTheme="minorHAnsi" w:cs="Arial"/>
          <w:sz w:val="22"/>
          <w:szCs w:val="22"/>
          <w:lang w:val="sr-Cyrl-BA"/>
        </w:rPr>
      </w:pPr>
      <w:r w:rsidRPr="00281D1F">
        <w:rPr>
          <w:rFonts w:asciiTheme="minorHAnsi" w:hAnsiTheme="minorHAnsi" w:cs="Arial"/>
          <w:sz w:val="22"/>
          <w:szCs w:val="22"/>
          <w:lang w:val="sr-Cyrl-BA"/>
        </w:rPr>
        <w:t>Razvoj maloprodajnog tržišta u prethodnom periodu okarakterisalo je sljedeće:</w:t>
      </w:r>
    </w:p>
    <w:p w:rsidR="005A1B74" w:rsidRPr="00281D1F" w:rsidRDefault="005A1B74" w:rsidP="002D1E7C">
      <w:pPr>
        <w:pStyle w:val="ListParagraph"/>
        <w:numPr>
          <w:ilvl w:val="0"/>
          <w:numId w:val="19"/>
        </w:numPr>
        <w:jc w:val="both"/>
        <w:rPr>
          <w:rFonts w:asciiTheme="minorHAnsi" w:hAnsiTheme="minorHAnsi"/>
          <w:sz w:val="22"/>
          <w:szCs w:val="22"/>
          <w:lang w:val="sr-Cyrl-BA"/>
        </w:rPr>
      </w:pPr>
      <w:r w:rsidRPr="00281D1F">
        <w:rPr>
          <w:rFonts w:asciiTheme="minorHAnsi" w:hAnsiTheme="minorHAnsi"/>
          <w:sz w:val="22"/>
          <w:szCs w:val="22"/>
          <w:lang w:val="sr-Cyrl-BA"/>
        </w:rPr>
        <w:t>Pravilnikom o sticanju statusa kvalifikovanog kupca</w:t>
      </w:r>
      <w:r w:rsidRPr="00281D1F">
        <w:rPr>
          <w:rFonts w:asciiTheme="minorHAnsi" w:hAnsiTheme="minorHAnsi"/>
          <w:i/>
          <w:sz w:val="22"/>
          <w:szCs w:val="22"/>
          <w:lang w:val="sr-Cyrl-BA"/>
        </w:rPr>
        <w:t>,</w:t>
      </w:r>
      <w:r w:rsidRPr="00281D1F">
        <w:rPr>
          <w:rFonts w:asciiTheme="minorHAnsi" w:hAnsiTheme="minorHAnsi"/>
          <w:sz w:val="22"/>
          <w:szCs w:val="22"/>
          <w:lang w:val="sr-Cyrl-BA"/>
        </w:rPr>
        <w:t xml:space="preserve"> u septembru 2006. godine, stvorene osnovne pretpostavke za izlazak kvalifikovanih kupaca (svi kupci osim kupaca iz kategorije „Domaćinstava” koji to pravo stiču 1. januara 2015. godine) na tržište. </w:t>
      </w:r>
    </w:p>
    <w:p w:rsidR="005A1B74" w:rsidRPr="00281D1F" w:rsidRDefault="005A1B74" w:rsidP="002D1E7C">
      <w:pPr>
        <w:pStyle w:val="ListParagraph"/>
        <w:numPr>
          <w:ilvl w:val="0"/>
          <w:numId w:val="19"/>
        </w:numPr>
        <w:jc w:val="both"/>
        <w:rPr>
          <w:rFonts w:asciiTheme="minorHAnsi" w:hAnsiTheme="minorHAnsi"/>
          <w:sz w:val="22"/>
          <w:szCs w:val="22"/>
          <w:lang w:val="sr-Cyrl-BA"/>
        </w:rPr>
      </w:pPr>
      <w:r w:rsidRPr="00281D1F">
        <w:rPr>
          <w:rFonts w:asciiTheme="minorHAnsi" w:hAnsiTheme="minorHAnsi"/>
          <w:sz w:val="22"/>
          <w:szCs w:val="22"/>
          <w:lang w:val="sr-Cyrl-BA"/>
        </w:rPr>
        <w:t>Pravilnikom o kvalifikovanom kupcu, koji je Regulatorna komisija donijela u decembru 2011. godine, utvrđen je način snabdijevanja kvalifikovanih kupaca do potpunog otvaranja tržišta, odnosno do 1. januara 2015. godine, kao i način snabdijevanja kvalifikovanih kupaca nakon potpunog otvaranja tržišta. U skladu sa odredbama ovog Pravilnika, produžen je rok do koga kvalifikovani kupci imaju mogućnost da se snabdijevaju kao tarifni kupci do 1. jula 2012. godine. Nakon isteka ovog roka, kvalifikovani kupci koji na tržištu ne izaberu snabdjevača kvalifikovanih kupaca, mogu kupovati električnu energiju od javnog (rezervnog) snabdjevača u sistemu obaveze javne usluge, uključujući i univerzalnu uslugu do 1. januara 2015. godine po cijenama javnog (rezervnog) snabdijevanja.</w:t>
      </w:r>
    </w:p>
    <w:p w:rsidR="005A1B74" w:rsidRPr="00281D1F" w:rsidRDefault="005A1B74" w:rsidP="002D1E7C">
      <w:pPr>
        <w:pStyle w:val="ListParagraph"/>
        <w:numPr>
          <w:ilvl w:val="0"/>
          <w:numId w:val="19"/>
        </w:numPr>
        <w:jc w:val="both"/>
        <w:rPr>
          <w:rFonts w:asciiTheme="minorHAnsi" w:hAnsiTheme="minorHAnsi"/>
          <w:sz w:val="22"/>
          <w:szCs w:val="22"/>
          <w:lang w:val="sr-Cyrl-BA"/>
        </w:rPr>
      </w:pPr>
      <w:r w:rsidRPr="00281D1F">
        <w:rPr>
          <w:rFonts w:asciiTheme="minorHAnsi" w:hAnsiTheme="minorHAnsi"/>
          <w:sz w:val="22"/>
          <w:szCs w:val="22"/>
          <w:lang w:val="sr-Cyrl-BA"/>
        </w:rPr>
        <w:t>Pravilnikom o snabdijevanju kvalifikovanih kupaca električnom energijom i postupku promjene snabdjevača, od 11. decembra 2014. godine, propisuje se način snabdijevanja kupaca na tržištu električne energije u Republici Srpskoj nakon 1. januara 2015. godine, kada svi kupci električne energije postaju kvalifikovani kupci. To znači da imaju pravo i mogućnost da izaberu svog snabdjevača električnom energijom, odnosno da biraju najpovoljniju ponudu za snabdijevanje električnom energijom. Odredbama ovog Pravilnika, propisana su prava i obaveze kvalifikovanih kupaca i snabdjevača, postupak promjene snabdjevača, uloga javnog i rezervnog snabdjevača, te način formiranja cijena za kupce koji se snabdijevaju u sistemu obaveze javne usluge (kod javnog snabdjevača ili kod rezervnog snabdjevača).</w:t>
      </w:r>
    </w:p>
    <w:p w:rsidR="005A1B74" w:rsidRPr="00281D1F" w:rsidRDefault="005A1B74" w:rsidP="002D1E7C">
      <w:pPr>
        <w:pStyle w:val="ListParagraph"/>
        <w:ind w:left="360"/>
        <w:jc w:val="both"/>
        <w:rPr>
          <w:rFonts w:asciiTheme="minorHAnsi" w:hAnsiTheme="minorHAnsi"/>
          <w:sz w:val="22"/>
          <w:szCs w:val="22"/>
          <w:lang w:val="sr-Cyrl-BA"/>
        </w:rPr>
      </w:pPr>
      <w:r w:rsidRPr="00281D1F">
        <w:rPr>
          <w:rFonts w:asciiTheme="minorHAnsi" w:hAnsiTheme="minorHAnsi"/>
          <w:sz w:val="22"/>
          <w:szCs w:val="22"/>
          <w:lang w:val="sr-Cyrl-BA"/>
        </w:rPr>
        <w:t>Od 1. januara 2015. godine, kupac iz kategorije „</w:t>
      </w:r>
      <w:r>
        <w:rPr>
          <w:rFonts w:asciiTheme="minorHAnsi" w:hAnsiTheme="minorHAnsi"/>
          <w:sz w:val="22"/>
          <w:szCs w:val="22"/>
          <w:lang w:val="sr-Cyrl-BA"/>
        </w:rPr>
        <w:t>D</w:t>
      </w:r>
      <w:r w:rsidRPr="00281D1F">
        <w:rPr>
          <w:rFonts w:asciiTheme="minorHAnsi" w:hAnsiTheme="minorHAnsi"/>
          <w:sz w:val="22"/>
          <w:szCs w:val="22"/>
          <w:lang w:val="sr-Cyrl-BA"/>
        </w:rPr>
        <w:t>omaćinstva” i „</w:t>
      </w:r>
      <w:r>
        <w:rPr>
          <w:rFonts w:asciiTheme="minorHAnsi" w:hAnsiTheme="minorHAnsi"/>
          <w:sz w:val="22"/>
          <w:szCs w:val="22"/>
          <w:lang w:val="sr-Cyrl-BA"/>
        </w:rPr>
        <w:t>M</w:t>
      </w:r>
      <w:r w:rsidRPr="00281D1F">
        <w:rPr>
          <w:rFonts w:asciiTheme="minorHAnsi" w:hAnsiTheme="minorHAnsi"/>
          <w:sz w:val="22"/>
          <w:szCs w:val="22"/>
          <w:lang w:val="sr-Cyrl-BA"/>
        </w:rPr>
        <w:t xml:space="preserve">ali kupac” (većina komercijalnih kupaca čiji su objekti priključeni na 0,4 kV napon), koji ne izabere novog snabdjevača kvalifikovanih kupaca, ima pravo da kupuje električnu energiju od javnog snabdjevača, tj. da se snabdijeva električnom energijom standardnog kvaliteta po ekonomski opravdanim, lako i jasno uporedivim i transparentnim cijenama (univerzalna usluga). </w:t>
      </w:r>
    </w:p>
    <w:p w:rsidR="005A1B74" w:rsidRPr="00281D1F" w:rsidRDefault="005A1B74" w:rsidP="002D1E7C">
      <w:pPr>
        <w:pStyle w:val="ListParagraph"/>
        <w:numPr>
          <w:ilvl w:val="0"/>
          <w:numId w:val="19"/>
        </w:numPr>
        <w:jc w:val="both"/>
        <w:rPr>
          <w:rFonts w:asciiTheme="minorHAnsi" w:hAnsiTheme="minorHAnsi"/>
          <w:sz w:val="22"/>
          <w:szCs w:val="22"/>
          <w:lang w:val="sr-Cyrl-BA"/>
        </w:rPr>
      </w:pPr>
      <w:r w:rsidRPr="00281D1F">
        <w:rPr>
          <w:rFonts w:asciiTheme="minorHAnsi" w:hAnsiTheme="minorHAnsi"/>
          <w:sz w:val="22"/>
          <w:szCs w:val="22"/>
          <w:lang w:val="sr-Cyrl-BA"/>
        </w:rPr>
        <w:t>Regulatorna komisija je u martu 2019. godine donijela Pravilnik o izmjenama i dopunama pravilnika o snabdijevanju kvalifikovanih kupaca i postupku promjene snabdjevača. Ovim Pravilnikom uvedeno je vremensko ograničenje za korišćenje usluge rezervnog snabdijevanja, tako da rezervno snabdijevanje postoji kao vid zaštite kupaca, ali ga je u neprekidnom trajanju moguće koristiti do 60 dana, nakon čega je kupac, koji ne pripada kategoriji „</w:t>
      </w:r>
      <w:r>
        <w:rPr>
          <w:rFonts w:asciiTheme="minorHAnsi" w:hAnsiTheme="minorHAnsi"/>
          <w:sz w:val="22"/>
          <w:szCs w:val="22"/>
          <w:lang w:val="sr-Cyrl-BA"/>
        </w:rPr>
        <w:t>D</w:t>
      </w:r>
      <w:r w:rsidRPr="00281D1F">
        <w:rPr>
          <w:rFonts w:asciiTheme="minorHAnsi" w:hAnsiTheme="minorHAnsi"/>
          <w:sz w:val="22"/>
          <w:szCs w:val="22"/>
          <w:lang w:val="sr-Cyrl-BA"/>
        </w:rPr>
        <w:t>omaćinstva" ili nije „</w:t>
      </w:r>
      <w:r>
        <w:rPr>
          <w:rFonts w:asciiTheme="minorHAnsi" w:hAnsiTheme="minorHAnsi"/>
          <w:sz w:val="22"/>
          <w:szCs w:val="22"/>
          <w:lang w:val="sr-Cyrl-BA"/>
        </w:rPr>
        <w:t>M</w:t>
      </w:r>
      <w:r w:rsidRPr="00281D1F">
        <w:rPr>
          <w:rFonts w:asciiTheme="minorHAnsi" w:hAnsiTheme="minorHAnsi"/>
          <w:sz w:val="22"/>
          <w:szCs w:val="22"/>
          <w:lang w:val="sr-Cyrl-BA"/>
        </w:rPr>
        <w:t>ali kupac”, dužan da nađe snabdjevača na tržištu.</w:t>
      </w:r>
    </w:p>
    <w:p w:rsidR="005A1B74" w:rsidRPr="00281D1F" w:rsidRDefault="005A1B74" w:rsidP="002D1E7C">
      <w:pPr>
        <w:pStyle w:val="ListParagraph"/>
        <w:numPr>
          <w:ilvl w:val="0"/>
          <w:numId w:val="19"/>
        </w:numPr>
        <w:jc w:val="both"/>
        <w:rPr>
          <w:rFonts w:asciiTheme="minorHAnsi" w:hAnsiTheme="minorHAnsi"/>
          <w:sz w:val="22"/>
          <w:szCs w:val="22"/>
          <w:lang w:val="sr-Cyrl-BA"/>
        </w:rPr>
      </w:pPr>
      <w:r w:rsidRPr="00281D1F">
        <w:rPr>
          <w:rFonts w:asciiTheme="minorHAnsi" w:hAnsiTheme="minorHAnsi"/>
          <w:sz w:val="22"/>
          <w:szCs w:val="22"/>
          <w:lang w:val="sr-Cyrl-BA"/>
        </w:rPr>
        <w:t xml:space="preserve">Regulatorna komisija je, u julu 2021. godine, donijela novi Pravilnik o snabdijevanju električnom energijom i postupku promjene snabdjevača usklađen sa odredbama novog zakona. </w:t>
      </w:r>
    </w:p>
    <w:p w:rsidR="005A1B74" w:rsidRPr="00281D1F" w:rsidRDefault="005A1B74" w:rsidP="002D1E7C">
      <w:pPr>
        <w:pStyle w:val="ListParagraph"/>
        <w:numPr>
          <w:ilvl w:val="0"/>
          <w:numId w:val="19"/>
        </w:numPr>
        <w:ind w:left="357" w:hanging="357"/>
        <w:jc w:val="both"/>
        <w:rPr>
          <w:rFonts w:asciiTheme="minorHAnsi" w:hAnsiTheme="minorHAnsi" w:cs="Calibri"/>
          <w:sz w:val="22"/>
          <w:szCs w:val="22"/>
          <w:lang w:val="sr-Cyrl-BA"/>
        </w:rPr>
      </w:pPr>
      <w:bookmarkStart w:id="98" w:name="_Toc293411081"/>
      <w:bookmarkStart w:id="99" w:name="_Toc293414769"/>
      <w:bookmarkStart w:id="100" w:name="_Toc293563719"/>
      <w:bookmarkStart w:id="101" w:name="_Toc358640040"/>
      <w:bookmarkStart w:id="102" w:name="_Toc358640258"/>
      <w:bookmarkStart w:id="103" w:name="_Toc358640476"/>
      <w:bookmarkStart w:id="104" w:name="_Toc358640900"/>
      <w:r w:rsidRPr="00281D1F">
        <w:rPr>
          <w:rFonts w:asciiTheme="minorHAnsi" w:hAnsiTheme="minorHAnsi" w:cs="Calibri"/>
          <w:sz w:val="22"/>
          <w:szCs w:val="22"/>
          <w:lang w:val="sr-Cyrl-BA"/>
        </w:rPr>
        <w:t>Takođe, od 1. aprila 2021. godine, kao rezultat primjene novog Zakona o električnoj energiji, izvršeno je i pravno razdvajanje operatora distributivnog sistema i javnog snabdjevača, a poslove javnog snabdjevača na osnovu odluke Vlade Republike Srpske obavlja MH „Elektroprivreda Republike Srpske“ - MP a.d Trebinje.</w:t>
      </w:r>
    </w:p>
    <w:p w:rsidR="005A1B74" w:rsidRPr="00281D1F" w:rsidRDefault="005A1B74" w:rsidP="002D1E7C">
      <w:pPr>
        <w:spacing w:before="120" w:after="120"/>
        <w:jc w:val="both"/>
        <w:rPr>
          <w:rFonts w:asciiTheme="minorHAnsi" w:hAnsiTheme="minorHAnsi" w:cs="Calibri"/>
          <w:sz w:val="22"/>
          <w:szCs w:val="22"/>
          <w:lang w:val="sr-Cyrl-BA"/>
        </w:rPr>
      </w:pPr>
      <w:r w:rsidRPr="00281D1F">
        <w:rPr>
          <w:rFonts w:asciiTheme="minorHAnsi" w:hAnsiTheme="minorHAnsi"/>
          <w:sz w:val="22"/>
          <w:szCs w:val="22"/>
          <w:lang w:val="sr-Cyrl-BA"/>
        </w:rPr>
        <w:t xml:space="preserve">Kao rezultat ovih izmjena, došlo </w:t>
      </w:r>
      <w:bookmarkStart w:id="105" w:name="_Toc414282331"/>
      <w:bookmarkEnd w:id="105"/>
      <w:r w:rsidRPr="00281D1F">
        <w:rPr>
          <w:rFonts w:asciiTheme="minorHAnsi" w:hAnsiTheme="minorHAnsi"/>
          <w:sz w:val="22"/>
          <w:szCs w:val="22"/>
          <w:lang w:val="sr-Cyrl-BA"/>
        </w:rPr>
        <w:t xml:space="preserve">je </w:t>
      </w:r>
      <w:r w:rsidRPr="00281D1F">
        <w:rPr>
          <w:rFonts w:asciiTheme="minorHAnsi" w:hAnsiTheme="minorHAnsi" w:cs="Calibri"/>
          <w:sz w:val="22"/>
          <w:szCs w:val="22"/>
          <w:lang w:val="sr-Cyrl-BA"/>
        </w:rPr>
        <w:t xml:space="preserve">do značajnijeg pomaka na maloprodajnom tržištu u Republici Srpskoj. </w:t>
      </w:r>
      <w:r w:rsidRPr="00281D1F">
        <w:rPr>
          <w:rFonts w:asciiTheme="minorHAnsi" w:hAnsiTheme="minorHAnsi"/>
          <w:sz w:val="22"/>
          <w:szCs w:val="22"/>
          <w:lang w:val="sr-Cyrl-BA"/>
        </w:rPr>
        <w:t>Tržište maloprodaje je liberalizovano. Ne postoje regulatorne prepreke za sve licencirane snabdjevače da pružaju usluge na teritoriji Republike Srpske i svi kupci mogu promijeniti snabdjevača po svom izboru. Ipak, većinu kupaca i dalje snabdijevaju postojeći snabdjevači, tako da se bilježi veoma mali broj promjena snabdjevača</w:t>
      </w:r>
      <w:r>
        <w:rPr>
          <w:rFonts w:asciiTheme="minorHAnsi" w:hAnsiTheme="minorHAnsi"/>
          <w:sz w:val="22"/>
          <w:szCs w:val="22"/>
          <w:lang w:val="sr-Cyrl-BA"/>
        </w:rPr>
        <w:t>, osim promjena kada kupac gubi status malog kupca i prelazi na tržišno snabdijevanje</w:t>
      </w:r>
      <w:r w:rsidRPr="00281D1F">
        <w:rPr>
          <w:rFonts w:asciiTheme="minorHAnsi" w:hAnsiTheme="minorHAnsi"/>
          <w:sz w:val="22"/>
          <w:szCs w:val="22"/>
          <w:lang w:val="sr-Cyrl-BA"/>
        </w:rPr>
        <w:t xml:space="preserve">. Djelatnost javnog snabdijevanja obavlja MH „ERS“ MP a.d, Trebinje, </w:t>
      </w:r>
      <w:r w:rsidRPr="00281D1F">
        <w:rPr>
          <w:rFonts w:asciiTheme="minorHAnsi" w:hAnsiTheme="minorHAnsi" w:cs="Calibri"/>
          <w:sz w:val="22"/>
          <w:szCs w:val="22"/>
          <w:lang w:val="sr-Cyrl-BA"/>
        </w:rPr>
        <w:t xml:space="preserve">na osnovu odluke Vlade Republike Srpske o imenovanju za javnog i rezervnog snabdjevača na teritoriji Republike Srpske. </w:t>
      </w:r>
      <w:r w:rsidRPr="00281D1F">
        <w:rPr>
          <w:rFonts w:asciiTheme="minorHAnsi" w:hAnsiTheme="minorHAnsi"/>
          <w:sz w:val="22"/>
          <w:szCs w:val="22"/>
          <w:lang w:val="sr-Cyrl-BA"/>
        </w:rPr>
        <w:t xml:space="preserve"> Pored toga što MH „ERS“ MP a.d, Trebinje ima obavezu javnog snabdijevanja, ovaj </w:t>
      </w:r>
      <w:r w:rsidRPr="00281D1F">
        <w:rPr>
          <w:rFonts w:asciiTheme="minorHAnsi" w:hAnsiTheme="minorHAnsi"/>
          <w:sz w:val="22"/>
          <w:szCs w:val="22"/>
          <w:lang w:val="sr-Cyrl-BA"/>
        </w:rPr>
        <w:lastRenderedPageBreak/>
        <w:t>snabdjevač ima obavezu da vrši i snabdijevanje kvalifikovanih kupaca koji na otvorenom tržištu ostanu bez svog snabdjevača – rezervno snabdijevanje.</w:t>
      </w:r>
    </w:p>
    <w:p w:rsidR="005A1B74" w:rsidRPr="00281D1F" w:rsidRDefault="005A1B74" w:rsidP="002D1E7C">
      <w:pPr>
        <w:spacing w:before="120"/>
        <w:jc w:val="both"/>
        <w:rPr>
          <w:rFonts w:asciiTheme="minorHAnsi" w:hAnsiTheme="minorHAnsi"/>
          <w:sz w:val="22"/>
          <w:szCs w:val="22"/>
          <w:lang w:val="sr-Cyrl-BA"/>
        </w:rPr>
      </w:pPr>
      <w:r w:rsidRPr="00281D1F">
        <w:rPr>
          <w:rFonts w:asciiTheme="minorHAnsi" w:hAnsiTheme="minorHAnsi"/>
          <w:sz w:val="22"/>
          <w:szCs w:val="22"/>
          <w:lang w:val="sr-Cyrl-BA"/>
        </w:rPr>
        <w:t>Bosna i Hercegovina nema institucionalno veleprodajno tržišta</w:t>
      </w:r>
      <w:r w:rsidRPr="00281D1F">
        <w:rPr>
          <w:lang w:val="sr-Cyrl-BA"/>
        </w:rPr>
        <w:t xml:space="preserve"> </w:t>
      </w:r>
      <w:r w:rsidRPr="00281D1F">
        <w:rPr>
          <w:rFonts w:asciiTheme="minorHAnsi" w:hAnsiTheme="minorHAnsi"/>
          <w:sz w:val="22"/>
          <w:szCs w:val="22"/>
          <w:lang w:val="sr-Cyrl-BA"/>
        </w:rPr>
        <w:t>(ne postoji operator tržišta, odnosno berza električne energije). Međutim, pored trgovine električnom energijom na bilateralnom tržištu</w:t>
      </w:r>
      <w:r>
        <w:rPr>
          <w:rFonts w:asciiTheme="minorHAnsi" w:hAnsiTheme="minorHAnsi"/>
          <w:sz w:val="22"/>
          <w:szCs w:val="22"/>
          <w:lang w:val="sr-Cyrl-BA"/>
        </w:rPr>
        <w:t>,</w:t>
      </w:r>
      <w:r w:rsidRPr="00281D1F">
        <w:rPr>
          <w:rFonts w:asciiTheme="minorHAnsi" w:hAnsiTheme="minorHAnsi"/>
          <w:sz w:val="22"/>
          <w:szCs w:val="22"/>
          <w:lang w:val="sr-Cyrl-BA"/>
        </w:rPr>
        <w:t xml:space="preserve"> najveći snabdjevači - trgovci električne energije u Republici Srpskoj aktivno prodaju </w:t>
      </w:r>
      <w:r w:rsidRPr="00B349E7">
        <w:rPr>
          <w:rFonts w:asciiTheme="minorHAnsi" w:hAnsiTheme="minorHAnsi"/>
          <w:sz w:val="22"/>
          <w:szCs w:val="22"/>
          <w:lang w:val="sr-Cyrl-BA"/>
        </w:rPr>
        <w:t>električnu energiju na berzama u okruženju. Na primjer, MH „Elektroprivreda Republike Srpske“ MP a.d. Trebinje je u toku 202</w:t>
      </w:r>
      <w:r w:rsidRPr="004878EC">
        <w:rPr>
          <w:rFonts w:asciiTheme="minorHAnsi" w:hAnsiTheme="minorHAnsi"/>
          <w:sz w:val="22"/>
          <w:szCs w:val="22"/>
          <w:lang w:val="sr-Latn-BA"/>
        </w:rPr>
        <w:t>4</w:t>
      </w:r>
      <w:r w:rsidRPr="00B349E7">
        <w:rPr>
          <w:rFonts w:asciiTheme="minorHAnsi" w:hAnsiTheme="minorHAnsi"/>
          <w:sz w:val="22"/>
          <w:szCs w:val="22"/>
          <w:lang w:val="sr-Cyrl-BA"/>
        </w:rPr>
        <w:t xml:space="preserve">. godine </w:t>
      </w:r>
      <w:r>
        <w:rPr>
          <w:rFonts w:asciiTheme="minorHAnsi" w:hAnsiTheme="minorHAnsi"/>
          <w:sz w:val="22"/>
          <w:szCs w:val="22"/>
          <w:lang w:val="sr-Cyrl-BA"/>
        </w:rPr>
        <w:t>oko</w:t>
      </w:r>
      <w:r w:rsidRPr="004878EC">
        <w:rPr>
          <w:rFonts w:asciiTheme="minorHAnsi" w:hAnsiTheme="minorHAnsi"/>
          <w:sz w:val="22"/>
          <w:szCs w:val="22"/>
          <w:lang w:val="sr-Latn-BA"/>
        </w:rPr>
        <w:t xml:space="preserve"> 40%</w:t>
      </w:r>
      <w:r w:rsidRPr="00B349E7">
        <w:rPr>
          <w:rFonts w:asciiTheme="minorHAnsi" w:hAnsiTheme="minorHAnsi"/>
          <w:sz w:val="22"/>
          <w:szCs w:val="22"/>
          <w:lang w:val="sr-Cyrl-BA"/>
        </w:rPr>
        <w:t xml:space="preserve"> prodate električne energije plasirala putem SEEPEX-a (berza u Republici Srbiji).</w:t>
      </w:r>
    </w:p>
    <w:p w:rsidR="005A1B74" w:rsidRPr="00281D1F" w:rsidRDefault="005A1B74" w:rsidP="002D1E7C">
      <w:pPr>
        <w:jc w:val="both"/>
        <w:rPr>
          <w:rFonts w:asciiTheme="minorHAnsi" w:hAnsiTheme="minorHAnsi" w:cs="Calibri"/>
          <w:sz w:val="22"/>
          <w:szCs w:val="22"/>
          <w:lang w:val="sr-Cyrl-BA"/>
        </w:rPr>
      </w:pPr>
      <w:r w:rsidRPr="00281D1F">
        <w:rPr>
          <w:rFonts w:asciiTheme="minorHAnsi" w:hAnsiTheme="minorHAnsi" w:cs="Calibri"/>
          <w:sz w:val="22"/>
          <w:szCs w:val="22"/>
          <w:lang w:val="sr-Cyrl-BA"/>
        </w:rPr>
        <w:t xml:space="preserve"> </w:t>
      </w:r>
    </w:p>
    <w:p w:rsidR="005A1B74" w:rsidRPr="00281D1F" w:rsidRDefault="005A1B74" w:rsidP="002D1E7C">
      <w:pPr>
        <w:pStyle w:val="Heading3"/>
        <w:numPr>
          <w:ilvl w:val="2"/>
          <w:numId w:val="31"/>
        </w:numPr>
        <w:spacing w:before="120" w:after="240"/>
        <w:ind w:left="0" w:firstLine="0"/>
        <w:rPr>
          <w:rFonts w:asciiTheme="minorHAnsi" w:hAnsiTheme="minorHAnsi"/>
          <w:sz w:val="24"/>
          <w:lang w:val="sr-Cyrl-BA"/>
        </w:rPr>
      </w:pPr>
      <w:bookmarkStart w:id="106" w:name="_Toc210301159"/>
      <w:r w:rsidRPr="00281D1F">
        <w:rPr>
          <w:rFonts w:asciiTheme="minorHAnsi" w:hAnsiTheme="minorHAnsi"/>
          <w:sz w:val="24"/>
          <w:lang w:val="sr-Cyrl-BA"/>
        </w:rPr>
        <w:t>Zaštita kupaca električne energije</w:t>
      </w:r>
      <w:bookmarkEnd w:id="98"/>
      <w:bookmarkEnd w:id="99"/>
      <w:bookmarkEnd w:id="100"/>
      <w:bookmarkEnd w:id="101"/>
      <w:bookmarkEnd w:id="102"/>
      <w:bookmarkEnd w:id="103"/>
      <w:bookmarkEnd w:id="104"/>
      <w:bookmarkEnd w:id="106"/>
    </w:p>
    <w:p w:rsidR="005A1B74" w:rsidRPr="00281D1F" w:rsidRDefault="005A1B74" w:rsidP="002D1E7C">
      <w:pPr>
        <w:numPr>
          <w:ilvl w:val="0"/>
          <w:numId w:val="26"/>
        </w:numPr>
        <w:spacing w:before="240" w:after="120"/>
        <w:ind w:left="1077" w:hanging="357"/>
        <w:jc w:val="both"/>
        <w:rPr>
          <w:rFonts w:asciiTheme="minorHAnsi" w:hAnsiTheme="minorHAnsi" w:cs="Calibri"/>
          <w:b/>
          <w:i/>
          <w:sz w:val="22"/>
          <w:szCs w:val="22"/>
          <w:lang w:val="sr-Cyrl-BA"/>
        </w:rPr>
      </w:pPr>
      <w:r w:rsidRPr="00281D1F">
        <w:rPr>
          <w:rFonts w:asciiTheme="minorHAnsi" w:hAnsiTheme="minorHAnsi" w:cs="Calibri"/>
          <w:i/>
          <w:sz w:val="22"/>
          <w:szCs w:val="22"/>
          <w:lang w:val="sr-Cyrl-BA"/>
        </w:rPr>
        <w:t xml:space="preserve"> </w:t>
      </w:r>
      <w:r w:rsidRPr="00281D1F">
        <w:rPr>
          <w:rFonts w:asciiTheme="minorHAnsi" w:hAnsiTheme="minorHAnsi" w:cs="Calibri"/>
          <w:b/>
          <w:i/>
          <w:sz w:val="22"/>
          <w:szCs w:val="22"/>
          <w:lang w:val="sr-Cyrl-BA"/>
        </w:rPr>
        <w:t>Regulatorni okvir zaštite kupaca</w:t>
      </w:r>
    </w:p>
    <w:p w:rsidR="005A1B74" w:rsidRPr="00281D1F" w:rsidRDefault="005A1B74" w:rsidP="002D1E7C">
      <w:pPr>
        <w:autoSpaceDE w:val="0"/>
        <w:autoSpaceDN w:val="0"/>
        <w:adjustRightInd w:val="0"/>
        <w:jc w:val="both"/>
        <w:rPr>
          <w:rFonts w:asciiTheme="minorHAnsi" w:hAnsiTheme="minorHAnsi" w:cs="Calibri"/>
          <w:sz w:val="22"/>
          <w:szCs w:val="22"/>
          <w:lang w:val="sr-Cyrl-BA"/>
        </w:rPr>
      </w:pPr>
      <w:r w:rsidRPr="00281D1F">
        <w:rPr>
          <w:rFonts w:asciiTheme="minorHAnsi" w:hAnsiTheme="minorHAnsi" w:cs="Arial"/>
          <w:sz w:val="22"/>
          <w:szCs w:val="22"/>
          <w:lang w:val="sr-Cyrl-BA"/>
        </w:rPr>
        <w:t xml:space="preserve">Pitanje zaštite </w:t>
      </w:r>
      <w:hyperlink w:anchor="_Toc230868149" w:history="1">
        <w:r w:rsidRPr="00281D1F">
          <w:rPr>
            <w:rFonts w:asciiTheme="minorHAnsi" w:hAnsiTheme="minorHAnsi" w:cs="Arial"/>
            <w:sz w:val="22"/>
            <w:szCs w:val="22"/>
            <w:lang w:val="sr-Cyrl-BA"/>
          </w:rPr>
          <w:t xml:space="preserve">kupaca električne energije </w:t>
        </w:r>
      </w:hyperlink>
      <w:r w:rsidRPr="00281D1F">
        <w:rPr>
          <w:rFonts w:asciiTheme="minorHAnsi" w:hAnsiTheme="minorHAnsi" w:cs="Arial"/>
          <w:sz w:val="22"/>
          <w:szCs w:val="22"/>
          <w:lang w:val="sr-Cyrl-BA"/>
        </w:rPr>
        <w:t>je uređeno odredbama Zakona o električnoj energiji i podzakonskim aktima. J</w:t>
      </w:r>
      <w:r w:rsidRPr="00281D1F">
        <w:rPr>
          <w:rFonts w:asciiTheme="minorHAnsi" w:hAnsiTheme="minorHAnsi" w:cs="Calibri"/>
          <w:sz w:val="22"/>
          <w:szCs w:val="22"/>
          <w:lang w:val="sr-Cyrl-BA"/>
        </w:rPr>
        <w:t xml:space="preserve">edan od osnovnih ciljeva uspostavljanja unutrašnjeg tržišta električne energije je obezbjeđivanje konkurentnih cijena, viših standarda usluga i sigurnost snabdijevanja, tj. mogućnost da svi kupci iskoriste prednost konkurentnog tržišta. </w:t>
      </w:r>
      <w:r w:rsidRPr="00281D1F">
        <w:rPr>
          <w:rFonts w:asciiTheme="minorHAnsi" w:hAnsiTheme="minorHAnsi" w:cs="Arial"/>
          <w:sz w:val="22"/>
          <w:szCs w:val="22"/>
          <w:lang w:val="sr-Cyrl-BA"/>
        </w:rPr>
        <w:t>Navedeni propisi obezbjeđuju zaštitu</w:t>
      </w:r>
      <w:r w:rsidRPr="00281D1F">
        <w:rPr>
          <w:rFonts w:asciiTheme="minorHAnsi" w:hAnsiTheme="minorHAnsi" w:cs="Calibri"/>
          <w:sz w:val="22"/>
          <w:szCs w:val="22"/>
          <w:lang w:val="sr-Cyrl-BA"/>
        </w:rPr>
        <w:t xml:space="preserve"> prava kupaca, pri čemu kvalitet usluge treba da bude centralna odgovornost privrednih društava koja obavljaju elektroenergetske djelatnosti. </w:t>
      </w:r>
    </w:p>
    <w:p w:rsidR="005A1B74" w:rsidRPr="00281D1F" w:rsidRDefault="005A1B74" w:rsidP="002D1E7C">
      <w:pPr>
        <w:autoSpaceDE w:val="0"/>
        <w:autoSpaceDN w:val="0"/>
        <w:adjustRightInd w:val="0"/>
        <w:spacing w:before="120" w:after="120"/>
        <w:jc w:val="both"/>
        <w:rPr>
          <w:rFonts w:asciiTheme="minorHAnsi" w:hAnsiTheme="minorHAnsi" w:cs="Calibri"/>
          <w:sz w:val="22"/>
          <w:szCs w:val="22"/>
          <w:lang w:val="sr-Cyrl-BA"/>
        </w:rPr>
      </w:pPr>
      <w:r w:rsidRPr="00281D1F">
        <w:rPr>
          <w:rFonts w:asciiTheme="minorHAnsi" w:hAnsiTheme="minorHAnsi" w:cs="Arial"/>
          <w:sz w:val="22"/>
          <w:szCs w:val="22"/>
          <w:lang w:val="sr-Cyrl-BA"/>
        </w:rPr>
        <w:t>Mjere za zaštitu kupaca obuhvataju: pravo na ugovor koji sadrži, između ostalog, unaprijed definisane uslove snabdijevanja, kvalitet ponuđene usluge, obavezu pravovremenog informisanja kupca, pravo na naknadu štete, rješavanje sporova, obavezu blagovremenog obavještavanja o uslovima i načinu promjene cijene, obavezu informisanja o cijenama i tarifama pod standardnim uslovima, pravo na izbor načina plaćanja i informaciju o pravu na univerzalnu uslugu za kupce električne energije itd.</w:t>
      </w:r>
    </w:p>
    <w:p w:rsidR="005A1B74" w:rsidRPr="00281D1F" w:rsidRDefault="005A1B74" w:rsidP="002D1E7C">
      <w:pPr>
        <w:jc w:val="both"/>
        <w:rPr>
          <w:rFonts w:asciiTheme="minorHAnsi" w:hAnsiTheme="minorHAnsi" w:cs="Arial"/>
          <w:sz w:val="22"/>
          <w:szCs w:val="22"/>
          <w:lang w:val="sr-Cyrl-BA"/>
        </w:rPr>
      </w:pPr>
      <w:r w:rsidRPr="00281D1F">
        <w:rPr>
          <w:rFonts w:asciiTheme="minorHAnsi" w:hAnsiTheme="minorHAnsi" w:cs="Arial"/>
          <w:sz w:val="22"/>
          <w:szCs w:val="22"/>
          <w:lang w:val="sr-Cyrl-BA"/>
        </w:rPr>
        <w:t>Regulatorna komisija je odredb</w:t>
      </w:r>
      <w:r>
        <w:rPr>
          <w:rFonts w:asciiTheme="minorHAnsi" w:hAnsiTheme="minorHAnsi" w:cs="Arial"/>
          <w:sz w:val="22"/>
          <w:szCs w:val="22"/>
          <w:lang w:val="sr-Cyrl-BA"/>
        </w:rPr>
        <w:t>ama</w:t>
      </w:r>
      <w:r w:rsidRPr="00281D1F">
        <w:rPr>
          <w:rFonts w:asciiTheme="minorHAnsi" w:hAnsiTheme="minorHAnsi" w:cs="Arial"/>
          <w:sz w:val="22"/>
          <w:szCs w:val="22"/>
          <w:lang w:val="sr-Cyrl-BA"/>
        </w:rPr>
        <w:t xml:space="preserve"> Opštih uslova za isporuku i snabdijevanje električnom energijom, obezbijedila poseban oblik zaštite krajnjih kupaca električne energije. To se ogleda u mjerama koje se odnose na isključenje električne energije i mjerama zaštite krajnjih kupaca u udaljenim područjima. Ovim odredbama su propisani uslovi pod kojima se kupac može isključiti sa mreže, procedura isključenja, a posebno je propisana zabrana isključenja u dane državnih praznika, dane vikenda ili dane kada ne radi uslužni centar korisnika dozvole. Takođe, zabranjeno je isključenje krajnjih kupaca koji koriste elektromedicinsku opremu za održavanje zdravlja. U slučaju ekstremno hladnog vremena, obustava isporuke se može primijeniti samo kao krajnja mjera.</w:t>
      </w:r>
    </w:p>
    <w:p w:rsidR="005A1B74" w:rsidRPr="00281D1F" w:rsidRDefault="005A1B74" w:rsidP="002D1E7C">
      <w:pPr>
        <w:spacing w:before="120" w:after="120"/>
        <w:jc w:val="both"/>
        <w:rPr>
          <w:rFonts w:asciiTheme="minorHAnsi" w:hAnsiTheme="minorHAnsi" w:cs="Arial"/>
          <w:sz w:val="22"/>
          <w:szCs w:val="22"/>
          <w:lang w:val="sr-Cyrl-BA"/>
        </w:rPr>
      </w:pPr>
      <w:r w:rsidRPr="00281D1F">
        <w:rPr>
          <w:rFonts w:asciiTheme="minorHAnsi" w:hAnsiTheme="minorHAnsi" w:cs="Arial"/>
          <w:sz w:val="22"/>
          <w:szCs w:val="22"/>
          <w:lang w:val="sr-Cyrl-BA"/>
        </w:rPr>
        <w:t xml:space="preserve">U cilju obezbjeđenja ravnopravnosti i nediskriminacije krajnjih kupaca u pogledu uslova za priključenje objekata na distributivnu mrežu, Regulatorna komisija je donijela </w:t>
      </w:r>
      <w:r w:rsidRPr="00281D1F">
        <w:rPr>
          <w:rFonts w:asciiTheme="minorHAnsi" w:hAnsiTheme="minorHAnsi" w:cs="Arial"/>
          <w:i/>
          <w:sz w:val="22"/>
          <w:szCs w:val="22"/>
          <w:lang w:val="sr-Cyrl-BA"/>
        </w:rPr>
        <w:t>Pravilnik o metodologiji za utvrđivanje naknade za priključenje na distributivnu mrežu</w:t>
      </w:r>
      <w:r w:rsidRPr="00281D1F">
        <w:rPr>
          <w:rFonts w:asciiTheme="minorHAnsi" w:hAnsiTheme="minorHAnsi" w:cs="Arial"/>
          <w:sz w:val="22"/>
          <w:szCs w:val="22"/>
          <w:lang w:val="sr-Cyrl-BA"/>
        </w:rPr>
        <w:t>, te</w:t>
      </w:r>
      <w:r w:rsidRPr="00281D1F">
        <w:rPr>
          <w:rFonts w:asciiTheme="minorHAnsi" w:hAnsiTheme="minorHAnsi" w:cs="Arial"/>
          <w:b/>
          <w:sz w:val="22"/>
          <w:szCs w:val="22"/>
          <w:lang w:val="sr-Cyrl-BA"/>
        </w:rPr>
        <w:t xml:space="preserve"> </w:t>
      </w:r>
      <w:r w:rsidRPr="00281D1F">
        <w:rPr>
          <w:rFonts w:asciiTheme="minorHAnsi" w:hAnsiTheme="minorHAnsi" w:cs="Arial"/>
          <w:sz w:val="22"/>
          <w:szCs w:val="22"/>
          <w:lang w:val="sr-Cyrl-BA"/>
        </w:rPr>
        <w:t xml:space="preserve">odobrila tipove priključka i naknade za priključenje na distributivnu mrežu. </w:t>
      </w:r>
    </w:p>
    <w:p w:rsidR="005A1B74" w:rsidRPr="00281D1F" w:rsidRDefault="005A1B74" w:rsidP="002D1E7C">
      <w:pPr>
        <w:spacing w:before="120"/>
        <w:jc w:val="both"/>
        <w:rPr>
          <w:rFonts w:asciiTheme="minorHAnsi" w:hAnsiTheme="minorHAnsi" w:cs="Arial"/>
          <w:sz w:val="22"/>
          <w:szCs w:val="22"/>
          <w:lang w:val="sr-Cyrl-BA"/>
        </w:rPr>
      </w:pPr>
      <w:r w:rsidRPr="00281D1F">
        <w:rPr>
          <w:rFonts w:asciiTheme="minorHAnsi" w:hAnsiTheme="minorHAnsi" w:cs="Arial"/>
          <w:sz w:val="22"/>
          <w:szCs w:val="22"/>
          <w:lang w:val="sr-Cyrl-BA"/>
        </w:rPr>
        <w:t>Tarifnim stavovima za korisnike distributivnih sistema i tarifnim stavovima za javno snabdijevanje (domaćinstva i mali kupci), obezbijeđeno je da cijene električne energije budu utvrđene na osnovu unaprijed definisane metodologije, zasnovane na objektivnim kriterijumima, objavljene prije primjene i primijenjene bez diskriminacije.</w:t>
      </w:r>
    </w:p>
    <w:p w:rsidR="005A1B74" w:rsidRPr="0037433A" w:rsidRDefault="005A1B74" w:rsidP="002D1E7C">
      <w:pPr>
        <w:spacing w:before="120"/>
        <w:jc w:val="both"/>
        <w:rPr>
          <w:rFonts w:asciiTheme="minorHAnsi" w:hAnsiTheme="minorHAnsi"/>
          <w:sz w:val="22"/>
          <w:szCs w:val="22"/>
          <w:lang w:val="sr-Cyrl-BA"/>
        </w:rPr>
      </w:pPr>
      <w:r w:rsidRPr="0037433A">
        <w:rPr>
          <w:rFonts w:asciiTheme="minorHAnsi" w:hAnsiTheme="minorHAnsi" w:cs="Arial"/>
          <w:sz w:val="22"/>
          <w:szCs w:val="22"/>
          <w:lang w:val="sr-Cyrl-BA"/>
        </w:rPr>
        <w:t>Pored navedenog, Zakon o električnoj energiji je definisao energetski zaštićenog kupca, te predvidio mehanizam zaštite ovih kupaca. Svakako, u svjetlu otvaranja tržišta, veoma je bitno da se ovaj mehanizam, donošenjem podzakonih akata od strane Vlade Republike Srpske i nadležnih ministarstava, učini što prije operativnim.</w:t>
      </w:r>
    </w:p>
    <w:p w:rsidR="005A1B74" w:rsidRPr="0037433A" w:rsidRDefault="005A1B74" w:rsidP="002D1E7C">
      <w:pPr>
        <w:numPr>
          <w:ilvl w:val="0"/>
          <w:numId w:val="26"/>
        </w:numPr>
        <w:spacing w:before="240" w:after="120"/>
        <w:ind w:left="1077" w:hanging="357"/>
        <w:jc w:val="both"/>
        <w:rPr>
          <w:rFonts w:asciiTheme="minorHAnsi" w:hAnsiTheme="minorHAnsi" w:cs="Calibri"/>
          <w:i/>
          <w:sz w:val="22"/>
          <w:szCs w:val="22"/>
          <w:lang w:val="sr-Cyrl-BA"/>
        </w:rPr>
      </w:pPr>
      <w:r w:rsidRPr="0037433A">
        <w:rPr>
          <w:rFonts w:asciiTheme="minorHAnsi" w:hAnsiTheme="minorHAnsi" w:cs="Calibri"/>
          <w:b/>
          <w:i/>
          <w:sz w:val="22"/>
          <w:szCs w:val="22"/>
          <w:lang w:val="sr-Cyrl-BA"/>
        </w:rPr>
        <w:t xml:space="preserve"> Rješavanje sporova </w:t>
      </w:r>
    </w:p>
    <w:p w:rsidR="005A1B74" w:rsidRPr="00281D1F" w:rsidRDefault="005A1B74" w:rsidP="002D1E7C">
      <w:pPr>
        <w:spacing w:before="120"/>
        <w:jc w:val="both"/>
        <w:rPr>
          <w:rFonts w:asciiTheme="minorHAnsi" w:hAnsiTheme="minorHAnsi"/>
          <w:sz w:val="22"/>
          <w:szCs w:val="22"/>
          <w:lang w:val="sr-Cyrl-BA"/>
        </w:rPr>
      </w:pPr>
      <w:r w:rsidRPr="00281D1F">
        <w:rPr>
          <w:rFonts w:asciiTheme="minorHAnsi" w:hAnsiTheme="minorHAnsi"/>
          <w:sz w:val="22"/>
          <w:szCs w:val="22"/>
          <w:lang w:val="sr-Cyrl-BA"/>
        </w:rPr>
        <w:t>Regulatorna komisija je, na osnovu odredbe člana 32. Zakona o električnoj energiji, nadležna da, po zahtjevu stranke, rješava sporove na tržištu električne energije.</w:t>
      </w:r>
    </w:p>
    <w:p w:rsidR="005A1B74" w:rsidRPr="00281D1F" w:rsidRDefault="005A1B74" w:rsidP="002D1E7C">
      <w:pPr>
        <w:spacing w:before="120" w:after="120"/>
        <w:jc w:val="both"/>
        <w:rPr>
          <w:rFonts w:asciiTheme="minorHAnsi" w:hAnsiTheme="minorHAnsi"/>
          <w:sz w:val="22"/>
          <w:szCs w:val="22"/>
          <w:lang w:val="sr-Cyrl-BA"/>
        </w:rPr>
      </w:pPr>
      <w:r w:rsidRPr="00281D1F">
        <w:rPr>
          <w:rFonts w:asciiTheme="minorHAnsi" w:hAnsiTheme="minorHAnsi"/>
          <w:sz w:val="22"/>
          <w:szCs w:val="22"/>
          <w:lang w:val="sr-Cyrl-BA"/>
        </w:rPr>
        <w:lastRenderedPageBreak/>
        <w:t xml:space="preserve">U toku </w:t>
      </w:r>
      <w:r>
        <w:rPr>
          <w:rFonts w:asciiTheme="minorHAnsi" w:hAnsiTheme="minorHAnsi"/>
          <w:sz w:val="22"/>
          <w:szCs w:val="22"/>
          <w:lang w:val="sr-Cyrl-BA"/>
        </w:rPr>
        <w:t>2024.</w:t>
      </w:r>
      <w:r w:rsidRPr="00281D1F">
        <w:rPr>
          <w:rFonts w:asciiTheme="minorHAnsi" w:hAnsiTheme="minorHAnsi"/>
          <w:sz w:val="22"/>
          <w:szCs w:val="22"/>
          <w:lang w:val="sr-Cyrl-BA"/>
        </w:rPr>
        <w:t xml:space="preserve"> godine, Regulatornoj komisiji podnesena su 2</w:t>
      </w:r>
      <w:r>
        <w:rPr>
          <w:rFonts w:asciiTheme="minorHAnsi" w:hAnsiTheme="minorHAnsi"/>
          <w:sz w:val="22"/>
          <w:szCs w:val="22"/>
          <w:lang w:val="sr-Cyrl-BA"/>
        </w:rPr>
        <w:t>49</w:t>
      </w:r>
      <w:r w:rsidRPr="00281D1F">
        <w:rPr>
          <w:rFonts w:asciiTheme="minorHAnsi" w:hAnsiTheme="minorHAnsi"/>
          <w:sz w:val="22"/>
          <w:szCs w:val="22"/>
          <w:lang w:val="sr-Cyrl-BA"/>
        </w:rPr>
        <w:t xml:space="preserve"> zahtjeva krajnjih kupaca za rješavanje sporova među učesnicima na tržištu električne energije. Broj podnesenih zahtjeva, s obzirom na razloge podnošenja, je sljedeći:</w:t>
      </w:r>
    </w:p>
    <w:p w:rsidR="005A1B74" w:rsidRPr="00281D1F" w:rsidRDefault="005A1B74" w:rsidP="002D1E7C">
      <w:pPr>
        <w:numPr>
          <w:ilvl w:val="0"/>
          <w:numId w:val="7"/>
        </w:numPr>
        <w:jc w:val="both"/>
        <w:rPr>
          <w:rFonts w:asciiTheme="minorHAnsi" w:hAnsiTheme="minorHAnsi"/>
          <w:sz w:val="22"/>
          <w:szCs w:val="22"/>
          <w:lang w:val="sr-Cyrl-BA"/>
        </w:rPr>
      </w:pPr>
      <w:r w:rsidRPr="00281D1F">
        <w:rPr>
          <w:rFonts w:asciiTheme="minorHAnsi" w:hAnsiTheme="minorHAnsi"/>
          <w:sz w:val="22"/>
          <w:szCs w:val="22"/>
          <w:lang w:val="sr-Cyrl-BA"/>
        </w:rPr>
        <w:t xml:space="preserve">pravo na snabdijevanje električnom energijom – </w:t>
      </w:r>
      <w:r>
        <w:rPr>
          <w:rFonts w:asciiTheme="minorHAnsi" w:hAnsiTheme="minorHAnsi"/>
          <w:sz w:val="22"/>
          <w:szCs w:val="22"/>
          <w:lang w:val="sr-Cyrl-BA"/>
        </w:rPr>
        <w:t>3 zahtjeva</w:t>
      </w:r>
    </w:p>
    <w:p w:rsidR="005A1B74" w:rsidRPr="00281D1F" w:rsidRDefault="005A1B74" w:rsidP="002D1E7C">
      <w:pPr>
        <w:numPr>
          <w:ilvl w:val="0"/>
          <w:numId w:val="7"/>
        </w:numPr>
        <w:jc w:val="both"/>
        <w:rPr>
          <w:rFonts w:asciiTheme="minorHAnsi" w:hAnsiTheme="minorHAnsi"/>
          <w:sz w:val="22"/>
          <w:szCs w:val="22"/>
          <w:lang w:val="sr-Cyrl-BA"/>
        </w:rPr>
      </w:pPr>
      <w:r w:rsidRPr="00281D1F">
        <w:rPr>
          <w:rFonts w:asciiTheme="minorHAnsi" w:hAnsiTheme="minorHAnsi"/>
          <w:sz w:val="22"/>
          <w:szCs w:val="22"/>
          <w:lang w:val="sr-Cyrl-BA"/>
        </w:rPr>
        <w:t xml:space="preserve">pristup na distributivnu mrežu – </w:t>
      </w:r>
      <w:r>
        <w:rPr>
          <w:rFonts w:asciiTheme="minorHAnsi" w:hAnsiTheme="minorHAnsi"/>
          <w:sz w:val="22"/>
          <w:szCs w:val="22"/>
          <w:lang w:val="sr-Cyrl-BA"/>
        </w:rPr>
        <w:t>3 zahtjeva</w:t>
      </w:r>
    </w:p>
    <w:p w:rsidR="005A1B74" w:rsidRPr="00281D1F" w:rsidRDefault="005A1B74" w:rsidP="002D1E7C">
      <w:pPr>
        <w:numPr>
          <w:ilvl w:val="0"/>
          <w:numId w:val="7"/>
        </w:numPr>
        <w:jc w:val="both"/>
        <w:rPr>
          <w:rFonts w:asciiTheme="minorHAnsi" w:hAnsiTheme="minorHAnsi"/>
          <w:sz w:val="22"/>
          <w:szCs w:val="22"/>
          <w:lang w:val="sr-Cyrl-BA"/>
        </w:rPr>
      </w:pPr>
      <w:r w:rsidRPr="00281D1F">
        <w:rPr>
          <w:rFonts w:asciiTheme="minorHAnsi" w:hAnsiTheme="minorHAnsi"/>
          <w:sz w:val="22"/>
          <w:szCs w:val="22"/>
          <w:lang w:val="sr-Cyrl-BA"/>
        </w:rPr>
        <w:t>obračun utrošene električne energije – 1</w:t>
      </w:r>
      <w:r>
        <w:rPr>
          <w:rFonts w:asciiTheme="minorHAnsi" w:hAnsiTheme="minorHAnsi"/>
          <w:sz w:val="22"/>
          <w:szCs w:val="22"/>
          <w:lang w:val="sr-Cyrl-BA"/>
        </w:rPr>
        <w:t>53 zahtjeva</w:t>
      </w:r>
    </w:p>
    <w:p w:rsidR="005A1B74" w:rsidRPr="00281D1F" w:rsidRDefault="005A1B74" w:rsidP="002D1E7C">
      <w:pPr>
        <w:numPr>
          <w:ilvl w:val="0"/>
          <w:numId w:val="7"/>
        </w:numPr>
        <w:jc w:val="both"/>
        <w:rPr>
          <w:rFonts w:asciiTheme="minorHAnsi" w:hAnsiTheme="minorHAnsi"/>
          <w:sz w:val="22"/>
          <w:szCs w:val="22"/>
          <w:lang w:val="sr-Cyrl-BA"/>
        </w:rPr>
      </w:pPr>
      <w:r w:rsidRPr="00281D1F">
        <w:rPr>
          <w:rFonts w:asciiTheme="minorHAnsi" w:hAnsiTheme="minorHAnsi"/>
          <w:sz w:val="22"/>
          <w:szCs w:val="22"/>
          <w:lang w:val="sr-Cyrl-BA"/>
        </w:rPr>
        <w:t xml:space="preserve">obračun naknade za neovlašćenu potrošnju električne energije - </w:t>
      </w:r>
      <w:r>
        <w:rPr>
          <w:rFonts w:asciiTheme="minorHAnsi" w:hAnsiTheme="minorHAnsi"/>
          <w:sz w:val="22"/>
          <w:szCs w:val="22"/>
          <w:lang w:val="sr-Cyrl-BA"/>
        </w:rPr>
        <w:t>17</w:t>
      </w:r>
    </w:p>
    <w:p w:rsidR="005A1B74" w:rsidRPr="00281D1F" w:rsidRDefault="005A1B74" w:rsidP="002D1E7C">
      <w:pPr>
        <w:numPr>
          <w:ilvl w:val="0"/>
          <w:numId w:val="7"/>
        </w:numPr>
        <w:jc w:val="both"/>
        <w:rPr>
          <w:rFonts w:asciiTheme="minorHAnsi" w:hAnsiTheme="minorHAnsi"/>
          <w:sz w:val="22"/>
          <w:szCs w:val="22"/>
          <w:lang w:val="sr-Cyrl-BA"/>
        </w:rPr>
      </w:pPr>
      <w:r w:rsidRPr="00281D1F">
        <w:rPr>
          <w:rFonts w:asciiTheme="minorHAnsi" w:hAnsiTheme="minorHAnsi"/>
          <w:sz w:val="22"/>
          <w:szCs w:val="22"/>
          <w:lang w:val="sr-Cyrl-BA"/>
        </w:rPr>
        <w:t xml:space="preserve">obustava isporuke električne energije - </w:t>
      </w:r>
      <w:r>
        <w:rPr>
          <w:rFonts w:asciiTheme="minorHAnsi" w:hAnsiTheme="minorHAnsi"/>
          <w:sz w:val="22"/>
          <w:szCs w:val="22"/>
          <w:lang w:val="sr-Cyrl-BA"/>
        </w:rPr>
        <w:t>6</w:t>
      </w:r>
    </w:p>
    <w:p w:rsidR="005A1B74" w:rsidRPr="00281D1F" w:rsidRDefault="005A1B74" w:rsidP="002D1E7C">
      <w:pPr>
        <w:numPr>
          <w:ilvl w:val="0"/>
          <w:numId w:val="7"/>
        </w:numPr>
        <w:jc w:val="both"/>
        <w:rPr>
          <w:rFonts w:asciiTheme="minorHAnsi" w:hAnsiTheme="minorHAnsi"/>
          <w:sz w:val="22"/>
          <w:szCs w:val="22"/>
          <w:lang w:val="sr-Cyrl-BA"/>
        </w:rPr>
      </w:pPr>
      <w:r w:rsidRPr="00281D1F">
        <w:rPr>
          <w:rFonts w:asciiTheme="minorHAnsi" w:hAnsiTheme="minorHAnsi"/>
          <w:sz w:val="22"/>
          <w:szCs w:val="22"/>
          <w:lang w:val="sr-Cyrl-BA"/>
        </w:rPr>
        <w:t>kvalitet napajanja električnom energijom – 1</w:t>
      </w:r>
      <w:r>
        <w:rPr>
          <w:rFonts w:asciiTheme="minorHAnsi" w:hAnsiTheme="minorHAnsi"/>
          <w:sz w:val="22"/>
          <w:szCs w:val="22"/>
          <w:lang w:val="sr-Cyrl-BA"/>
        </w:rPr>
        <w:t>1</w:t>
      </w:r>
    </w:p>
    <w:p w:rsidR="005A1B74" w:rsidRPr="00281D1F" w:rsidRDefault="005A1B74" w:rsidP="002D1E7C">
      <w:pPr>
        <w:numPr>
          <w:ilvl w:val="0"/>
          <w:numId w:val="7"/>
        </w:numPr>
        <w:jc w:val="both"/>
        <w:rPr>
          <w:rFonts w:asciiTheme="minorHAnsi" w:hAnsiTheme="minorHAnsi"/>
          <w:sz w:val="22"/>
          <w:szCs w:val="22"/>
          <w:lang w:val="sr-Cyrl-BA"/>
        </w:rPr>
      </w:pPr>
      <w:r w:rsidRPr="00281D1F">
        <w:rPr>
          <w:rFonts w:asciiTheme="minorHAnsi" w:hAnsiTheme="minorHAnsi"/>
          <w:sz w:val="22"/>
          <w:szCs w:val="22"/>
          <w:lang w:val="sr-Cyrl-BA"/>
        </w:rPr>
        <w:t xml:space="preserve">drugi razlozi (otpis duga, zastarjelost, prenos duga, naknada štete, izmještanje mreže, zamjena i izmještanje stubova, izvršenje presude i sl.) - </w:t>
      </w:r>
      <w:r>
        <w:rPr>
          <w:rFonts w:asciiTheme="minorHAnsi" w:hAnsiTheme="minorHAnsi"/>
          <w:sz w:val="22"/>
          <w:szCs w:val="22"/>
          <w:lang w:val="sr-Cyrl-BA"/>
        </w:rPr>
        <w:t>56</w:t>
      </w:r>
    </w:p>
    <w:p w:rsidR="005A1B74" w:rsidRPr="00281D1F" w:rsidRDefault="005A1B74" w:rsidP="002D1E7C">
      <w:pPr>
        <w:pStyle w:val="Caption"/>
        <w:spacing w:before="120"/>
        <w:jc w:val="both"/>
        <w:rPr>
          <w:b w:val="0"/>
          <w:noProof/>
          <w:lang w:val="sr-Cyrl-BA" w:eastAsia="en-GB"/>
        </w:rPr>
      </w:pPr>
      <w:r w:rsidRPr="00281D1F">
        <w:rPr>
          <w:rFonts w:asciiTheme="minorHAnsi" w:hAnsiTheme="minorHAnsi"/>
          <w:b w:val="0"/>
          <w:sz w:val="22"/>
          <w:szCs w:val="22"/>
          <w:lang w:val="sr-Cyrl-BA"/>
        </w:rPr>
        <w:t xml:space="preserve">Na slici 1 dat je prikaz zahtjeva prema razlogu podnošenja. Evidentno je da je najčešći razlog podnošenja zahtjeva za rješavanje spora u vezi sa obračunom utrošene energije. Inače, u ovu kategoriju sporova uključeni su svi sporovi </w:t>
      </w:r>
      <w:r>
        <w:rPr>
          <w:rFonts w:asciiTheme="minorHAnsi" w:hAnsiTheme="minorHAnsi"/>
          <w:b w:val="0"/>
          <w:sz w:val="22"/>
          <w:szCs w:val="22"/>
          <w:lang w:val="sr-Cyrl-BA"/>
        </w:rPr>
        <w:t>u vezi sa</w:t>
      </w:r>
      <w:r w:rsidRPr="00281D1F">
        <w:rPr>
          <w:rFonts w:asciiTheme="minorHAnsi" w:hAnsiTheme="minorHAnsi"/>
          <w:b w:val="0"/>
          <w:sz w:val="22"/>
          <w:szCs w:val="22"/>
          <w:lang w:val="sr-Cyrl-BA"/>
        </w:rPr>
        <w:t xml:space="preserve"> obračun</w:t>
      </w:r>
      <w:r>
        <w:rPr>
          <w:rFonts w:asciiTheme="minorHAnsi" w:hAnsiTheme="minorHAnsi"/>
          <w:b w:val="0"/>
          <w:sz w:val="22"/>
          <w:szCs w:val="22"/>
          <w:lang w:val="sr-Cyrl-BA"/>
        </w:rPr>
        <w:t>om</w:t>
      </w:r>
      <w:r w:rsidRPr="00281D1F">
        <w:rPr>
          <w:rFonts w:asciiTheme="minorHAnsi" w:hAnsiTheme="minorHAnsi"/>
          <w:b w:val="0"/>
          <w:sz w:val="22"/>
          <w:szCs w:val="22"/>
          <w:lang w:val="sr-Cyrl-BA"/>
        </w:rPr>
        <w:t xml:space="preserve"> utrošene električne energije,</w:t>
      </w:r>
      <w:r>
        <w:rPr>
          <w:rFonts w:asciiTheme="minorHAnsi" w:hAnsiTheme="minorHAnsi"/>
          <w:b w:val="0"/>
          <w:sz w:val="22"/>
          <w:szCs w:val="22"/>
          <w:lang w:val="sr-Cyrl-BA"/>
        </w:rPr>
        <w:t xml:space="preserve"> iključujući</w:t>
      </w:r>
      <w:r w:rsidRPr="00281D1F">
        <w:rPr>
          <w:rFonts w:asciiTheme="minorHAnsi" w:hAnsiTheme="minorHAnsi"/>
          <w:b w:val="0"/>
          <w:sz w:val="22"/>
          <w:szCs w:val="22"/>
          <w:lang w:val="sr-Cyrl-BA"/>
        </w:rPr>
        <w:t xml:space="preserve"> izvršene korekcije obračuna i slično. Prema odredbama novog zakona o električnoj energiji, sporovi u vezi sa neovlašćenom potrošnjom električne energije su posebno strukturisani.</w:t>
      </w:r>
      <w:r w:rsidRPr="00281D1F">
        <w:rPr>
          <w:b w:val="0"/>
          <w:noProof/>
          <w:lang w:val="sr-Cyrl-BA" w:eastAsia="en-GB"/>
        </w:rPr>
        <w:t xml:space="preserve"> </w:t>
      </w:r>
    </w:p>
    <w:p w:rsidR="005A1B74" w:rsidRPr="00281D1F" w:rsidRDefault="00CF13CD" w:rsidP="002D1E7C">
      <w:pPr>
        <w:pStyle w:val="Caption"/>
        <w:spacing w:before="120"/>
        <w:jc w:val="center"/>
        <w:rPr>
          <w:rFonts w:asciiTheme="minorHAnsi" w:hAnsiTheme="minorHAnsi"/>
          <w:b w:val="0"/>
          <w:lang w:val="sr-Cyrl-BA"/>
        </w:rPr>
      </w:pPr>
      <w:r>
        <w:rPr>
          <w:noProof/>
          <w:lang w:val="en-GB" w:eastAsia="en-GB"/>
        </w:rPr>
        <w:drawing>
          <wp:inline distT="0" distB="0" distL="0" distR="0" wp14:anchorId="0E6934BA" wp14:editId="0A511A92">
            <wp:extent cx="5760720" cy="2950296"/>
            <wp:effectExtent l="0" t="0" r="0"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2950296"/>
                    </a:xfrm>
                    <a:prstGeom prst="rect">
                      <a:avLst/>
                    </a:prstGeom>
                    <a:noFill/>
                  </pic:spPr>
                </pic:pic>
              </a:graphicData>
            </a:graphic>
          </wp:inline>
        </w:drawing>
      </w:r>
      <w:r w:rsidR="005A1B74" w:rsidRPr="00281D1F">
        <w:rPr>
          <w:noProof/>
          <w:lang w:val="sr-Cyrl-BA"/>
        </w:rPr>
        <w:t xml:space="preserve"> </w:t>
      </w:r>
    </w:p>
    <w:p w:rsidR="005A1B74" w:rsidRPr="00281D1F" w:rsidRDefault="005A1B74" w:rsidP="002D1E7C">
      <w:pPr>
        <w:spacing w:before="120"/>
        <w:ind w:right="57"/>
        <w:jc w:val="center"/>
        <w:rPr>
          <w:rFonts w:asciiTheme="minorHAnsi" w:hAnsiTheme="minorHAnsi"/>
          <w:sz w:val="22"/>
          <w:szCs w:val="22"/>
          <w:lang w:val="sr-Cyrl-BA"/>
        </w:rPr>
      </w:pPr>
      <w:r w:rsidRPr="00281D1F">
        <w:rPr>
          <w:rFonts w:asciiTheme="minorHAnsi" w:hAnsiTheme="minorHAnsi"/>
          <w:b/>
          <w:sz w:val="20"/>
          <w:szCs w:val="20"/>
          <w:lang w:val="sr-Cyrl-BA"/>
        </w:rPr>
        <w:t>Slika 1</w:t>
      </w:r>
      <w:r w:rsidRPr="00281D1F">
        <w:rPr>
          <w:rFonts w:asciiTheme="minorHAnsi" w:hAnsiTheme="minorHAnsi"/>
          <w:sz w:val="22"/>
          <w:szCs w:val="22"/>
          <w:lang w:val="sr-Cyrl-BA"/>
        </w:rPr>
        <w:t xml:space="preserve"> </w:t>
      </w:r>
      <w:r w:rsidRPr="00281D1F">
        <w:rPr>
          <w:rFonts w:asciiTheme="minorHAnsi" w:hAnsiTheme="minorHAnsi"/>
          <w:lang w:val="sr-Cyrl-BA"/>
        </w:rPr>
        <w:t xml:space="preserve">- </w:t>
      </w:r>
      <w:r w:rsidRPr="00281D1F">
        <w:rPr>
          <w:rFonts w:asciiTheme="minorHAnsi" w:hAnsiTheme="minorHAnsi"/>
          <w:i/>
          <w:sz w:val="22"/>
          <w:szCs w:val="22"/>
          <w:lang w:val="sr-Cyrl-BA"/>
        </w:rPr>
        <w:t xml:space="preserve">Zahtjevi za rješavanje sporova prema razlogu podnošenja </w:t>
      </w:r>
    </w:p>
    <w:p w:rsidR="005A1B74" w:rsidRPr="00281D1F" w:rsidRDefault="005A1B74" w:rsidP="002D1E7C">
      <w:pPr>
        <w:ind w:right="57"/>
        <w:jc w:val="both"/>
        <w:rPr>
          <w:rFonts w:asciiTheme="minorHAnsi" w:hAnsiTheme="minorHAnsi"/>
          <w:sz w:val="22"/>
          <w:szCs w:val="22"/>
          <w:lang w:val="sr-Cyrl-BA"/>
        </w:rPr>
      </w:pPr>
    </w:p>
    <w:p w:rsidR="005A1B74" w:rsidRPr="00281D1F" w:rsidRDefault="005A1B74" w:rsidP="002D1E7C">
      <w:pPr>
        <w:ind w:right="57"/>
        <w:jc w:val="both"/>
        <w:rPr>
          <w:rFonts w:asciiTheme="minorHAnsi" w:hAnsiTheme="minorHAnsi"/>
          <w:sz w:val="22"/>
          <w:szCs w:val="22"/>
          <w:lang w:val="sr-Cyrl-BA"/>
        </w:rPr>
      </w:pPr>
      <w:r w:rsidRPr="00281D1F">
        <w:rPr>
          <w:rFonts w:asciiTheme="minorHAnsi" w:hAnsiTheme="minorHAnsi"/>
          <w:sz w:val="22"/>
          <w:szCs w:val="22"/>
          <w:lang w:val="sr-Cyrl-BA"/>
        </w:rPr>
        <w:t>Broj zaht</w:t>
      </w:r>
      <w:r>
        <w:rPr>
          <w:rFonts w:asciiTheme="minorHAnsi" w:hAnsiTheme="minorHAnsi"/>
          <w:sz w:val="22"/>
          <w:szCs w:val="22"/>
          <w:lang w:val="sr-Cyrl-BA"/>
        </w:rPr>
        <w:t>j</w:t>
      </w:r>
      <w:r w:rsidRPr="00281D1F">
        <w:rPr>
          <w:rFonts w:asciiTheme="minorHAnsi" w:hAnsiTheme="minorHAnsi"/>
          <w:sz w:val="22"/>
          <w:szCs w:val="22"/>
          <w:lang w:val="sr-Cyrl-BA"/>
        </w:rPr>
        <w:t>eva za rješavanje sporova po korisnicima dozvola je sljedeći:</w:t>
      </w:r>
    </w:p>
    <w:p w:rsidR="005A1B74" w:rsidRPr="00281D1F" w:rsidRDefault="005A1B74" w:rsidP="002D1E7C">
      <w:pPr>
        <w:pStyle w:val="ListParagraph"/>
        <w:numPr>
          <w:ilvl w:val="0"/>
          <w:numId w:val="28"/>
        </w:numPr>
        <w:ind w:right="57"/>
        <w:jc w:val="both"/>
        <w:rPr>
          <w:rFonts w:asciiTheme="minorHAnsi" w:hAnsiTheme="minorHAnsi"/>
          <w:sz w:val="22"/>
          <w:szCs w:val="22"/>
          <w:lang w:val="sr-Cyrl-BA"/>
        </w:rPr>
      </w:pPr>
      <w:r w:rsidRPr="00281D1F">
        <w:rPr>
          <w:rFonts w:asciiTheme="minorHAnsi" w:hAnsiTheme="minorHAnsi"/>
          <w:sz w:val="22"/>
          <w:szCs w:val="22"/>
          <w:lang w:val="sr-Cyrl-BA"/>
        </w:rPr>
        <w:t xml:space="preserve">Operator distributivnog sistema </w:t>
      </w:r>
      <w:r>
        <w:rPr>
          <w:rFonts w:asciiTheme="minorHAnsi" w:hAnsiTheme="minorHAnsi"/>
          <w:sz w:val="22"/>
          <w:szCs w:val="22"/>
          <w:lang w:val="bs-Latn-BA"/>
        </w:rPr>
        <w:t>„</w:t>
      </w:r>
      <w:r>
        <w:rPr>
          <w:rFonts w:asciiTheme="minorHAnsi" w:hAnsiTheme="minorHAnsi"/>
          <w:sz w:val="22"/>
          <w:szCs w:val="22"/>
          <w:lang w:val="sr-Cyrl-BA"/>
        </w:rPr>
        <w:t>Elektrokrajina</w:t>
      </w:r>
      <w:r>
        <w:rPr>
          <w:rFonts w:asciiTheme="minorHAnsi" w:hAnsiTheme="minorHAnsi"/>
          <w:sz w:val="22"/>
          <w:szCs w:val="22"/>
          <w:lang w:val="bs-Latn-BA"/>
        </w:rPr>
        <w:t>”</w:t>
      </w:r>
      <w:r w:rsidRPr="00281D1F">
        <w:rPr>
          <w:rFonts w:asciiTheme="minorHAnsi" w:hAnsiTheme="minorHAnsi"/>
          <w:sz w:val="22"/>
          <w:szCs w:val="22"/>
          <w:lang w:val="sr-Cyrl-BA"/>
        </w:rPr>
        <w:t xml:space="preserve"> a.d. Banja Luka – 13</w:t>
      </w:r>
      <w:r>
        <w:rPr>
          <w:rFonts w:asciiTheme="minorHAnsi" w:hAnsiTheme="minorHAnsi"/>
          <w:sz w:val="22"/>
          <w:szCs w:val="22"/>
          <w:lang w:val="sr-Cyrl-BA"/>
        </w:rPr>
        <w:t>2</w:t>
      </w:r>
      <w:r w:rsidRPr="00281D1F">
        <w:rPr>
          <w:rFonts w:asciiTheme="minorHAnsi" w:hAnsiTheme="minorHAnsi"/>
          <w:sz w:val="22"/>
          <w:szCs w:val="22"/>
          <w:lang w:val="sr-Cyrl-BA"/>
        </w:rPr>
        <w:t xml:space="preserve"> zahtjeva</w:t>
      </w:r>
    </w:p>
    <w:p w:rsidR="005A1B74" w:rsidRPr="00281D1F" w:rsidRDefault="005A1B74" w:rsidP="002D1E7C">
      <w:pPr>
        <w:pStyle w:val="ListParagraph"/>
        <w:numPr>
          <w:ilvl w:val="0"/>
          <w:numId w:val="28"/>
        </w:numPr>
        <w:ind w:right="57"/>
        <w:jc w:val="both"/>
        <w:rPr>
          <w:rFonts w:asciiTheme="minorHAnsi" w:hAnsiTheme="minorHAnsi"/>
          <w:sz w:val="22"/>
          <w:szCs w:val="22"/>
          <w:lang w:val="sr-Cyrl-BA"/>
        </w:rPr>
      </w:pPr>
      <w:r>
        <w:rPr>
          <w:rFonts w:asciiTheme="minorHAnsi" w:hAnsiTheme="minorHAnsi"/>
          <w:sz w:val="22"/>
          <w:szCs w:val="22"/>
          <w:lang w:val="sr-Cyrl-BA"/>
        </w:rPr>
        <w:t xml:space="preserve">MH </w:t>
      </w:r>
      <w:r>
        <w:rPr>
          <w:rFonts w:asciiTheme="minorHAnsi" w:hAnsiTheme="minorHAnsi"/>
          <w:sz w:val="22"/>
          <w:szCs w:val="22"/>
          <w:lang w:val="bs-Latn-BA"/>
        </w:rPr>
        <w:t>„</w:t>
      </w:r>
      <w:r w:rsidRPr="00281D1F">
        <w:rPr>
          <w:rFonts w:asciiTheme="minorHAnsi" w:hAnsiTheme="minorHAnsi"/>
          <w:sz w:val="22"/>
          <w:szCs w:val="22"/>
          <w:lang w:val="sr-Cyrl-BA"/>
        </w:rPr>
        <w:t>E</w:t>
      </w:r>
      <w:r>
        <w:rPr>
          <w:rFonts w:asciiTheme="minorHAnsi" w:hAnsiTheme="minorHAnsi"/>
          <w:sz w:val="22"/>
          <w:szCs w:val="22"/>
          <w:lang w:val="sr-Cyrl-BA"/>
        </w:rPr>
        <w:t>lektroprivreda Republike Srpske</w:t>
      </w:r>
      <w:r>
        <w:rPr>
          <w:rFonts w:asciiTheme="minorHAnsi" w:hAnsiTheme="minorHAnsi"/>
          <w:sz w:val="22"/>
          <w:szCs w:val="22"/>
          <w:lang w:val="bs-Latn-BA"/>
        </w:rPr>
        <w:t>”</w:t>
      </w:r>
      <w:r w:rsidRPr="00281D1F">
        <w:rPr>
          <w:rFonts w:asciiTheme="minorHAnsi" w:hAnsiTheme="minorHAnsi"/>
          <w:sz w:val="22"/>
          <w:szCs w:val="22"/>
          <w:lang w:val="sr-Cyrl-BA"/>
        </w:rPr>
        <w:t xml:space="preserve"> MP a.d. Trebinje – </w:t>
      </w:r>
      <w:r>
        <w:rPr>
          <w:rFonts w:asciiTheme="minorHAnsi" w:hAnsiTheme="minorHAnsi"/>
          <w:sz w:val="22"/>
          <w:szCs w:val="22"/>
          <w:lang w:val="sr-Cyrl-BA"/>
        </w:rPr>
        <w:t>57</w:t>
      </w:r>
      <w:r w:rsidRPr="00281D1F">
        <w:rPr>
          <w:rFonts w:asciiTheme="minorHAnsi" w:hAnsiTheme="minorHAnsi"/>
          <w:sz w:val="22"/>
          <w:szCs w:val="22"/>
          <w:lang w:val="sr-Cyrl-BA"/>
        </w:rPr>
        <w:t xml:space="preserve"> zahtjeva</w:t>
      </w:r>
    </w:p>
    <w:p w:rsidR="005A1B74" w:rsidRPr="00281D1F" w:rsidRDefault="005A1B74" w:rsidP="002D1E7C">
      <w:pPr>
        <w:pStyle w:val="ListParagraph"/>
        <w:numPr>
          <w:ilvl w:val="0"/>
          <w:numId w:val="28"/>
        </w:numPr>
        <w:ind w:right="57"/>
        <w:jc w:val="both"/>
        <w:rPr>
          <w:rFonts w:asciiTheme="minorHAnsi" w:hAnsiTheme="minorHAnsi"/>
          <w:sz w:val="22"/>
          <w:szCs w:val="22"/>
          <w:lang w:val="sr-Cyrl-BA"/>
        </w:rPr>
      </w:pPr>
      <w:r w:rsidRPr="00281D1F">
        <w:rPr>
          <w:rFonts w:asciiTheme="minorHAnsi" w:hAnsiTheme="minorHAnsi"/>
          <w:sz w:val="22"/>
          <w:szCs w:val="22"/>
          <w:lang w:val="sr-Cyrl-BA"/>
        </w:rPr>
        <w:t xml:space="preserve">Operator distributivnog sistema </w:t>
      </w:r>
      <w:r>
        <w:rPr>
          <w:rFonts w:asciiTheme="minorHAnsi" w:hAnsiTheme="minorHAnsi"/>
          <w:sz w:val="22"/>
          <w:szCs w:val="22"/>
          <w:lang w:val="bs-Latn-BA"/>
        </w:rPr>
        <w:t>„</w:t>
      </w:r>
      <w:r w:rsidRPr="00281D1F">
        <w:rPr>
          <w:rFonts w:asciiTheme="minorHAnsi" w:hAnsiTheme="minorHAnsi"/>
          <w:sz w:val="22"/>
          <w:szCs w:val="22"/>
          <w:lang w:val="sr-Cyrl-BA"/>
        </w:rPr>
        <w:t>Elektro-Bijeljina</w:t>
      </w:r>
      <w:r>
        <w:rPr>
          <w:rFonts w:asciiTheme="minorHAnsi" w:hAnsiTheme="minorHAnsi"/>
          <w:sz w:val="22"/>
          <w:szCs w:val="22"/>
          <w:lang w:val="bs-Latn-BA"/>
        </w:rPr>
        <w:t>”</w:t>
      </w:r>
      <w:r w:rsidRPr="00281D1F">
        <w:rPr>
          <w:rFonts w:asciiTheme="minorHAnsi" w:hAnsiTheme="minorHAnsi"/>
          <w:sz w:val="22"/>
          <w:szCs w:val="22"/>
          <w:lang w:val="sr-Cyrl-BA"/>
        </w:rPr>
        <w:t xml:space="preserve"> a.d. Bijeljina – </w:t>
      </w:r>
      <w:r>
        <w:rPr>
          <w:rFonts w:asciiTheme="minorHAnsi" w:hAnsiTheme="minorHAnsi"/>
          <w:sz w:val="22"/>
          <w:szCs w:val="22"/>
          <w:lang w:val="sr-Cyrl-BA"/>
        </w:rPr>
        <w:t>33</w:t>
      </w:r>
      <w:r w:rsidRPr="00281D1F">
        <w:rPr>
          <w:rFonts w:asciiTheme="minorHAnsi" w:hAnsiTheme="minorHAnsi"/>
          <w:sz w:val="22"/>
          <w:szCs w:val="22"/>
          <w:lang w:val="sr-Cyrl-BA"/>
        </w:rPr>
        <w:t xml:space="preserve"> zahtjeva</w:t>
      </w:r>
    </w:p>
    <w:p w:rsidR="005A1B74" w:rsidRPr="00281D1F" w:rsidRDefault="005A1B74" w:rsidP="002D1E7C">
      <w:pPr>
        <w:pStyle w:val="ListParagraph"/>
        <w:numPr>
          <w:ilvl w:val="0"/>
          <w:numId w:val="28"/>
        </w:numPr>
        <w:ind w:right="57"/>
        <w:jc w:val="both"/>
        <w:rPr>
          <w:rFonts w:asciiTheme="minorHAnsi" w:hAnsiTheme="minorHAnsi"/>
          <w:sz w:val="22"/>
          <w:szCs w:val="22"/>
          <w:lang w:val="sr-Cyrl-BA"/>
        </w:rPr>
      </w:pPr>
      <w:r w:rsidRPr="00281D1F">
        <w:rPr>
          <w:rFonts w:asciiTheme="minorHAnsi" w:hAnsiTheme="minorHAnsi"/>
          <w:sz w:val="22"/>
          <w:szCs w:val="22"/>
          <w:lang w:val="sr-Cyrl-BA"/>
        </w:rPr>
        <w:t>Operator distributivnog sistema</w:t>
      </w:r>
      <w:r>
        <w:rPr>
          <w:rFonts w:asciiTheme="minorHAnsi" w:hAnsiTheme="minorHAnsi"/>
          <w:sz w:val="22"/>
          <w:szCs w:val="22"/>
          <w:lang w:val="sr-Cyrl-BA"/>
        </w:rPr>
        <w:t xml:space="preserve"> </w:t>
      </w:r>
      <w:r>
        <w:rPr>
          <w:rFonts w:asciiTheme="minorHAnsi" w:hAnsiTheme="minorHAnsi"/>
          <w:sz w:val="22"/>
          <w:szCs w:val="22"/>
          <w:lang w:val="bs-Latn-BA"/>
        </w:rPr>
        <w:t>„</w:t>
      </w:r>
      <w:r>
        <w:rPr>
          <w:rFonts w:asciiTheme="minorHAnsi" w:hAnsiTheme="minorHAnsi"/>
          <w:sz w:val="22"/>
          <w:szCs w:val="22"/>
          <w:lang w:val="sr-Cyrl-BA"/>
        </w:rPr>
        <w:t>Elektro Doboj</w:t>
      </w:r>
      <w:r>
        <w:rPr>
          <w:rFonts w:asciiTheme="minorHAnsi" w:hAnsiTheme="minorHAnsi"/>
          <w:sz w:val="22"/>
          <w:szCs w:val="22"/>
          <w:lang w:val="bs-Latn-BA"/>
        </w:rPr>
        <w:t>”</w:t>
      </w:r>
      <w:r w:rsidRPr="00281D1F">
        <w:rPr>
          <w:rFonts w:asciiTheme="minorHAnsi" w:hAnsiTheme="minorHAnsi"/>
          <w:sz w:val="22"/>
          <w:szCs w:val="22"/>
          <w:lang w:val="sr-Cyrl-BA"/>
        </w:rPr>
        <w:t xml:space="preserve"> a.d. Doboj –</w:t>
      </w:r>
      <w:r>
        <w:rPr>
          <w:rFonts w:asciiTheme="minorHAnsi" w:hAnsiTheme="minorHAnsi"/>
          <w:sz w:val="22"/>
          <w:szCs w:val="22"/>
          <w:lang w:val="sr-Cyrl-BA"/>
        </w:rPr>
        <w:t xml:space="preserve"> 7</w:t>
      </w:r>
      <w:r w:rsidRPr="00281D1F">
        <w:rPr>
          <w:rFonts w:asciiTheme="minorHAnsi" w:hAnsiTheme="minorHAnsi"/>
          <w:sz w:val="22"/>
          <w:szCs w:val="22"/>
          <w:lang w:val="sr-Cyrl-BA"/>
        </w:rPr>
        <w:t xml:space="preserve"> zahtjeva</w:t>
      </w:r>
    </w:p>
    <w:p w:rsidR="005A1B74" w:rsidRPr="00281D1F" w:rsidRDefault="005A1B74" w:rsidP="002D1E7C">
      <w:pPr>
        <w:pStyle w:val="ListParagraph"/>
        <w:numPr>
          <w:ilvl w:val="0"/>
          <w:numId w:val="28"/>
        </w:numPr>
        <w:ind w:right="57"/>
        <w:jc w:val="both"/>
        <w:rPr>
          <w:rFonts w:asciiTheme="minorHAnsi" w:hAnsiTheme="minorHAnsi"/>
          <w:sz w:val="22"/>
          <w:szCs w:val="22"/>
          <w:lang w:val="sr-Cyrl-BA"/>
        </w:rPr>
      </w:pPr>
      <w:r w:rsidRPr="00281D1F">
        <w:rPr>
          <w:rFonts w:asciiTheme="minorHAnsi" w:hAnsiTheme="minorHAnsi"/>
          <w:sz w:val="22"/>
          <w:szCs w:val="22"/>
          <w:lang w:val="sr-Cyrl-BA"/>
        </w:rPr>
        <w:t>Operator distributivnog sistema</w:t>
      </w:r>
      <w:r>
        <w:rPr>
          <w:rFonts w:asciiTheme="minorHAnsi" w:hAnsiTheme="minorHAnsi"/>
          <w:sz w:val="22"/>
          <w:szCs w:val="22"/>
          <w:lang w:val="sr-Cyrl-BA"/>
        </w:rPr>
        <w:t xml:space="preserve"> </w:t>
      </w:r>
      <w:r>
        <w:rPr>
          <w:rFonts w:asciiTheme="minorHAnsi" w:hAnsiTheme="minorHAnsi"/>
          <w:sz w:val="22"/>
          <w:szCs w:val="22"/>
          <w:lang w:val="bs-Latn-BA"/>
        </w:rPr>
        <w:t>„</w:t>
      </w:r>
      <w:r>
        <w:rPr>
          <w:rFonts w:asciiTheme="minorHAnsi" w:hAnsiTheme="minorHAnsi"/>
          <w:sz w:val="22"/>
          <w:szCs w:val="22"/>
          <w:lang w:val="sr-Cyrl-BA"/>
        </w:rPr>
        <w:t>Elektrodistribucija</w:t>
      </w:r>
      <w:r>
        <w:rPr>
          <w:rFonts w:asciiTheme="minorHAnsi" w:hAnsiTheme="minorHAnsi"/>
          <w:sz w:val="22"/>
          <w:szCs w:val="22"/>
          <w:lang w:val="bs-Latn-BA"/>
        </w:rPr>
        <w:t>”</w:t>
      </w:r>
      <w:r w:rsidRPr="00281D1F">
        <w:rPr>
          <w:rFonts w:asciiTheme="minorHAnsi" w:hAnsiTheme="minorHAnsi"/>
          <w:sz w:val="22"/>
          <w:szCs w:val="22"/>
          <w:lang w:val="sr-Cyrl-BA"/>
        </w:rPr>
        <w:t xml:space="preserve"> a.d. Pale – </w:t>
      </w:r>
      <w:r>
        <w:rPr>
          <w:rFonts w:asciiTheme="minorHAnsi" w:hAnsiTheme="minorHAnsi"/>
          <w:sz w:val="22"/>
          <w:szCs w:val="22"/>
          <w:lang w:val="sr-Cyrl-BA"/>
        </w:rPr>
        <w:t>11</w:t>
      </w:r>
      <w:r w:rsidRPr="00281D1F">
        <w:rPr>
          <w:rFonts w:asciiTheme="minorHAnsi" w:hAnsiTheme="minorHAnsi"/>
          <w:sz w:val="22"/>
          <w:szCs w:val="22"/>
          <w:lang w:val="sr-Cyrl-BA"/>
        </w:rPr>
        <w:t xml:space="preserve"> zahtjeva i</w:t>
      </w:r>
    </w:p>
    <w:p w:rsidR="005A1B74" w:rsidRPr="00281D1F" w:rsidRDefault="005A1B74" w:rsidP="002D1E7C">
      <w:pPr>
        <w:pStyle w:val="ListParagraph"/>
        <w:numPr>
          <w:ilvl w:val="0"/>
          <w:numId w:val="28"/>
        </w:numPr>
        <w:spacing w:after="120"/>
        <w:ind w:right="57"/>
        <w:jc w:val="both"/>
        <w:rPr>
          <w:rFonts w:asciiTheme="minorHAnsi" w:hAnsiTheme="minorHAnsi"/>
          <w:sz w:val="22"/>
          <w:szCs w:val="22"/>
          <w:lang w:val="sr-Cyrl-BA"/>
        </w:rPr>
      </w:pPr>
      <w:r w:rsidRPr="00281D1F">
        <w:rPr>
          <w:rFonts w:asciiTheme="minorHAnsi" w:hAnsiTheme="minorHAnsi"/>
          <w:sz w:val="22"/>
          <w:szCs w:val="22"/>
          <w:lang w:val="sr-Cyrl-BA"/>
        </w:rPr>
        <w:t>Operator distributivnog sistema</w:t>
      </w:r>
      <w:r>
        <w:rPr>
          <w:rFonts w:asciiTheme="minorHAnsi" w:hAnsiTheme="minorHAnsi"/>
          <w:sz w:val="22"/>
          <w:szCs w:val="22"/>
          <w:lang w:val="sr-Cyrl-BA"/>
        </w:rPr>
        <w:t xml:space="preserve"> </w:t>
      </w:r>
      <w:r>
        <w:rPr>
          <w:rFonts w:asciiTheme="minorHAnsi" w:hAnsiTheme="minorHAnsi"/>
          <w:sz w:val="22"/>
          <w:szCs w:val="22"/>
          <w:lang w:val="bs-Latn-BA"/>
        </w:rPr>
        <w:t>„</w:t>
      </w:r>
      <w:r>
        <w:rPr>
          <w:rFonts w:asciiTheme="minorHAnsi" w:hAnsiTheme="minorHAnsi"/>
          <w:sz w:val="22"/>
          <w:szCs w:val="22"/>
          <w:lang w:val="sr-Cyrl-BA"/>
        </w:rPr>
        <w:t>Elektro-Hercegovina</w:t>
      </w:r>
      <w:r>
        <w:rPr>
          <w:rFonts w:asciiTheme="minorHAnsi" w:hAnsiTheme="minorHAnsi"/>
          <w:sz w:val="22"/>
          <w:szCs w:val="22"/>
          <w:lang w:val="bs-Latn-BA"/>
        </w:rPr>
        <w:t>”</w:t>
      </w:r>
      <w:r w:rsidRPr="00281D1F">
        <w:rPr>
          <w:rFonts w:asciiTheme="minorHAnsi" w:hAnsiTheme="minorHAnsi"/>
          <w:sz w:val="22"/>
          <w:szCs w:val="22"/>
          <w:lang w:val="sr-Cyrl-BA"/>
        </w:rPr>
        <w:t xml:space="preserve"> a.d. Trebinje – </w:t>
      </w:r>
      <w:r>
        <w:rPr>
          <w:rFonts w:asciiTheme="minorHAnsi" w:hAnsiTheme="minorHAnsi"/>
          <w:sz w:val="22"/>
          <w:szCs w:val="22"/>
          <w:lang w:val="sr-Cyrl-BA"/>
        </w:rPr>
        <w:t>9</w:t>
      </w:r>
      <w:r w:rsidRPr="00281D1F">
        <w:rPr>
          <w:rFonts w:asciiTheme="minorHAnsi" w:hAnsiTheme="minorHAnsi"/>
          <w:sz w:val="22"/>
          <w:szCs w:val="22"/>
          <w:lang w:val="sr-Cyrl-BA"/>
        </w:rPr>
        <w:t xml:space="preserve"> zahtjeva.</w:t>
      </w:r>
    </w:p>
    <w:p w:rsidR="005A1B74" w:rsidRPr="00281D1F" w:rsidRDefault="005A1B74" w:rsidP="002D1E7C">
      <w:pPr>
        <w:spacing w:after="120"/>
        <w:ind w:right="57"/>
        <w:jc w:val="both"/>
        <w:rPr>
          <w:rFonts w:asciiTheme="minorHAnsi" w:hAnsiTheme="minorHAnsi"/>
          <w:sz w:val="22"/>
          <w:szCs w:val="22"/>
          <w:lang w:val="sr-Cyrl-BA"/>
        </w:rPr>
      </w:pPr>
      <w:r w:rsidRPr="00281D1F">
        <w:rPr>
          <w:rFonts w:asciiTheme="minorHAnsi" w:hAnsiTheme="minorHAnsi"/>
          <w:sz w:val="22"/>
          <w:szCs w:val="22"/>
          <w:lang w:val="sr-Cyrl-BA"/>
        </w:rPr>
        <w:t>U pojedinim situacijama</w:t>
      </w:r>
      <w:r>
        <w:rPr>
          <w:rFonts w:asciiTheme="minorHAnsi" w:hAnsiTheme="minorHAnsi"/>
          <w:sz w:val="22"/>
          <w:szCs w:val="22"/>
          <w:lang w:val="sr-Cyrl-BA"/>
        </w:rPr>
        <w:t>,</w:t>
      </w:r>
      <w:r w:rsidRPr="00281D1F">
        <w:rPr>
          <w:rFonts w:asciiTheme="minorHAnsi" w:hAnsiTheme="minorHAnsi"/>
          <w:sz w:val="22"/>
          <w:szCs w:val="22"/>
          <w:lang w:val="sr-Cyrl-BA"/>
        </w:rPr>
        <w:t xml:space="preserve"> zahtjevi za rješavanje sporova u vezi sa obračunom utrošene električne energije usmjereni su i prema MH </w:t>
      </w:r>
      <w:r>
        <w:rPr>
          <w:rFonts w:asciiTheme="minorHAnsi" w:hAnsiTheme="minorHAnsi"/>
          <w:sz w:val="22"/>
          <w:szCs w:val="22"/>
          <w:lang w:val="sr-Cyrl-BA"/>
        </w:rPr>
        <w:t>„</w:t>
      </w:r>
      <w:r w:rsidRPr="00281D1F">
        <w:rPr>
          <w:rFonts w:asciiTheme="minorHAnsi" w:hAnsiTheme="minorHAnsi"/>
          <w:sz w:val="22"/>
          <w:szCs w:val="22"/>
          <w:lang w:val="sr-Cyrl-BA"/>
        </w:rPr>
        <w:t>Elektroprivreda Republike Srpske</w:t>
      </w:r>
      <w:r>
        <w:rPr>
          <w:rFonts w:asciiTheme="minorHAnsi" w:hAnsiTheme="minorHAnsi"/>
          <w:sz w:val="22"/>
          <w:szCs w:val="22"/>
          <w:lang w:val="sr-Cyrl-BA"/>
        </w:rPr>
        <w:t>“</w:t>
      </w:r>
      <w:r w:rsidRPr="00281D1F">
        <w:rPr>
          <w:rFonts w:asciiTheme="minorHAnsi" w:hAnsiTheme="minorHAnsi"/>
          <w:sz w:val="22"/>
          <w:szCs w:val="22"/>
          <w:lang w:val="sr-Cyrl-BA"/>
        </w:rPr>
        <w:t xml:space="preserve"> MP a.d. Trebinje, kao snabdjevaču električnom energijom i prema pojedinim operatorima distributivnog sistema. Zbog toga je ukupan broj zaht</w:t>
      </w:r>
      <w:r>
        <w:rPr>
          <w:rFonts w:asciiTheme="minorHAnsi" w:hAnsiTheme="minorHAnsi"/>
          <w:sz w:val="22"/>
          <w:szCs w:val="22"/>
          <w:lang w:val="sr-Cyrl-BA"/>
        </w:rPr>
        <w:t>j</w:t>
      </w:r>
      <w:r w:rsidRPr="00281D1F">
        <w:rPr>
          <w:rFonts w:asciiTheme="minorHAnsi" w:hAnsiTheme="minorHAnsi"/>
          <w:sz w:val="22"/>
          <w:szCs w:val="22"/>
          <w:lang w:val="sr-Cyrl-BA"/>
        </w:rPr>
        <w:t xml:space="preserve">eva po korisnicima dozvola veći </w:t>
      </w:r>
      <w:r>
        <w:rPr>
          <w:rFonts w:asciiTheme="minorHAnsi" w:hAnsiTheme="minorHAnsi"/>
          <w:sz w:val="22"/>
          <w:szCs w:val="22"/>
          <w:lang w:val="sr-Cyrl-BA"/>
        </w:rPr>
        <w:t>od broja stvarno podnesenih zah</w:t>
      </w:r>
      <w:r w:rsidRPr="00281D1F">
        <w:rPr>
          <w:rFonts w:asciiTheme="minorHAnsi" w:hAnsiTheme="minorHAnsi"/>
          <w:sz w:val="22"/>
          <w:szCs w:val="22"/>
          <w:lang w:val="sr-Cyrl-BA"/>
        </w:rPr>
        <w:t>t</w:t>
      </w:r>
      <w:r>
        <w:rPr>
          <w:rFonts w:asciiTheme="minorHAnsi" w:hAnsiTheme="minorHAnsi"/>
          <w:sz w:val="22"/>
          <w:szCs w:val="22"/>
          <w:lang w:val="sr-Cyrl-BA"/>
        </w:rPr>
        <w:t>j</w:t>
      </w:r>
      <w:r w:rsidRPr="00281D1F">
        <w:rPr>
          <w:rFonts w:asciiTheme="minorHAnsi" w:hAnsiTheme="minorHAnsi"/>
          <w:sz w:val="22"/>
          <w:szCs w:val="22"/>
          <w:lang w:val="sr-Cyrl-BA"/>
        </w:rPr>
        <w:t xml:space="preserve">eva. </w:t>
      </w:r>
    </w:p>
    <w:p w:rsidR="005A1B74" w:rsidRPr="00281D1F" w:rsidRDefault="005A1B74" w:rsidP="002D1E7C">
      <w:pPr>
        <w:spacing w:after="120"/>
        <w:ind w:right="57"/>
        <w:jc w:val="both"/>
        <w:rPr>
          <w:rFonts w:asciiTheme="minorHAnsi" w:hAnsiTheme="minorHAnsi"/>
          <w:sz w:val="22"/>
          <w:szCs w:val="22"/>
          <w:lang w:val="sr-Cyrl-BA"/>
        </w:rPr>
      </w:pPr>
      <w:r w:rsidRPr="00281D1F">
        <w:rPr>
          <w:rFonts w:asciiTheme="minorHAnsi" w:hAnsiTheme="minorHAnsi"/>
          <w:sz w:val="22"/>
          <w:szCs w:val="22"/>
          <w:lang w:val="sr-Cyrl-BA"/>
        </w:rPr>
        <w:t>Na slici 2 dat je prikaz zahtjeva po korisnicima dozvola.</w:t>
      </w:r>
    </w:p>
    <w:p w:rsidR="005A1B74" w:rsidRPr="00281D1F" w:rsidRDefault="00CF13CD" w:rsidP="002D1E7C">
      <w:pPr>
        <w:spacing w:after="120"/>
        <w:ind w:right="57"/>
        <w:jc w:val="center"/>
        <w:rPr>
          <w:rFonts w:asciiTheme="minorHAnsi" w:hAnsiTheme="minorHAnsi"/>
          <w:b/>
          <w:sz w:val="22"/>
          <w:szCs w:val="22"/>
          <w:lang w:val="sr-Cyrl-BA"/>
        </w:rPr>
      </w:pPr>
      <w:r>
        <w:rPr>
          <w:rFonts w:asciiTheme="minorHAnsi" w:hAnsiTheme="minorHAnsi"/>
          <w:b/>
          <w:noProof/>
          <w:sz w:val="22"/>
          <w:szCs w:val="22"/>
          <w:lang w:val="en-GB" w:eastAsia="en-GB"/>
        </w:rPr>
        <w:lastRenderedPageBreak/>
        <w:drawing>
          <wp:inline distT="0" distB="0" distL="0" distR="0" wp14:anchorId="492F420B" wp14:editId="387FF3D6">
            <wp:extent cx="5125725" cy="2986292"/>
            <wp:effectExtent l="0" t="0" r="0" b="508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37168" cy="2992959"/>
                    </a:xfrm>
                    <a:prstGeom prst="rect">
                      <a:avLst/>
                    </a:prstGeom>
                    <a:noFill/>
                  </pic:spPr>
                </pic:pic>
              </a:graphicData>
            </a:graphic>
          </wp:inline>
        </w:drawing>
      </w:r>
    </w:p>
    <w:p w:rsidR="005A1B74" w:rsidRPr="00281D1F" w:rsidRDefault="005A1B74" w:rsidP="002D1E7C">
      <w:pPr>
        <w:spacing w:before="120"/>
        <w:ind w:right="57"/>
        <w:jc w:val="center"/>
        <w:rPr>
          <w:rFonts w:asciiTheme="minorHAnsi" w:hAnsiTheme="minorHAnsi"/>
          <w:sz w:val="22"/>
          <w:szCs w:val="22"/>
          <w:lang w:val="sr-Cyrl-BA"/>
        </w:rPr>
      </w:pPr>
      <w:r w:rsidRPr="00281D1F">
        <w:rPr>
          <w:rFonts w:asciiTheme="minorHAnsi" w:hAnsiTheme="minorHAnsi"/>
          <w:b/>
          <w:sz w:val="20"/>
          <w:szCs w:val="20"/>
          <w:lang w:val="sr-Cyrl-BA"/>
        </w:rPr>
        <w:t>Slika 2</w:t>
      </w:r>
      <w:r w:rsidRPr="00281D1F">
        <w:rPr>
          <w:rFonts w:asciiTheme="minorHAnsi" w:hAnsiTheme="minorHAnsi"/>
          <w:sz w:val="22"/>
          <w:szCs w:val="22"/>
          <w:lang w:val="sr-Cyrl-BA"/>
        </w:rPr>
        <w:t xml:space="preserve"> </w:t>
      </w:r>
      <w:r w:rsidRPr="00281D1F">
        <w:rPr>
          <w:rFonts w:asciiTheme="minorHAnsi" w:hAnsiTheme="minorHAnsi"/>
          <w:lang w:val="sr-Cyrl-BA"/>
        </w:rPr>
        <w:t xml:space="preserve">- </w:t>
      </w:r>
      <w:r w:rsidRPr="00281D1F">
        <w:rPr>
          <w:rFonts w:asciiTheme="minorHAnsi" w:hAnsiTheme="minorHAnsi"/>
          <w:i/>
          <w:sz w:val="22"/>
          <w:szCs w:val="22"/>
          <w:lang w:val="sr-Cyrl-BA"/>
        </w:rPr>
        <w:t>Zahtjevi za rješavanje sporova prema korisnicima dozvola</w:t>
      </w:r>
    </w:p>
    <w:p w:rsidR="005A1B74" w:rsidRPr="00281D1F" w:rsidRDefault="005A1B74" w:rsidP="002D1E7C">
      <w:pPr>
        <w:spacing w:after="120"/>
        <w:ind w:right="57"/>
        <w:jc w:val="center"/>
        <w:rPr>
          <w:rFonts w:asciiTheme="minorHAnsi" w:hAnsiTheme="minorHAnsi"/>
          <w:b/>
          <w:sz w:val="22"/>
          <w:szCs w:val="22"/>
          <w:lang w:val="sr-Cyrl-BA"/>
        </w:rPr>
      </w:pPr>
    </w:p>
    <w:p w:rsidR="005A1B74" w:rsidRPr="0052308D" w:rsidRDefault="005A1B74" w:rsidP="002D1E7C">
      <w:pPr>
        <w:spacing w:after="120"/>
        <w:ind w:right="57"/>
        <w:jc w:val="both"/>
        <w:rPr>
          <w:rFonts w:asciiTheme="minorHAnsi" w:hAnsiTheme="minorHAnsi"/>
          <w:sz w:val="22"/>
          <w:szCs w:val="22"/>
          <w:lang w:val="sr-Cyrl-BA"/>
        </w:rPr>
      </w:pPr>
      <w:bookmarkStart w:id="107" w:name="_Toc292433747"/>
      <w:bookmarkStart w:id="108" w:name="_Toc292437744"/>
      <w:bookmarkStart w:id="109" w:name="_Toc292433748"/>
      <w:bookmarkStart w:id="110" w:name="_Toc292437745"/>
      <w:bookmarkStart w:id="111" w:name="_Toc292433757"/>
      <w:bookmarkStart w:id="112" w:name="_Toc292437754"/>
      <w:bookmarkStart w:id="113" w:name="_Toc292433758"/>
      <w:bookmarkStart w:id="114" w:name="_Toc292437755"/>
      <w:bookmarkStart w:id="115" w:name="_Toc292433759"/>
      <w:bookmarkStart w:id="116" w:name="_Toc292437756"/>
      <w:bookmarkStart w:id="117" w:name="_Toc292433764"/>
      <w:bookmarkStart w:id="118" w:name="_Toc292437761"/>
      <w:bookmarkStart w:id="119" w:name="_Toc292433813"/>
      <w:bookmarkStart w:id="120" w:name="_Toc292437810"/>
      <w:bookmarkStart w:id="121" w:name="_Toc292433819"/>
      <w:bookmarkStart w:id="122" w:name="_Toc29243781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Pr="0052308D">
        <w:rPr>
          <w:rFonts w:asciiTheme="minorHAnsi" w:hAnsiTheme="minorHAnsi"/>
          <w:sz w:val="22"/>
          <w:szCs w:val="22"/>
          <w:lang w:val="sr-Cyrl-BA"/>
        </w:rPr>
        <w:t>Tokom 2024. godine došlo je do povećanja broja zahtjeva za rješavanje sporova za 18,5 %, u odnosu na broj sporova u 2023. godini.</w:t>
      </w:r>
    </w:p>
    <w:p w:rsidR="005A1B74" w:rsidRPr="0052308D" w:rsidRDefault="005A1B74" w:rsidP="002D1E7C">
      <w:pPr>
        <w:spacing w:after="120"/>
        <w:ind w:right="57"/>
        <w:jc w:val="both"/>
        <w:rPr>
          <w:rFonts w:asciiTheme="minorHAnsi" w:hAnsiTheme="minorHAnsi"/>
          <w:sz w:val="22"/>
          <w:szCs w:val="22"/>
          <w:lang w:val="sr-Cyrl-BA"/>
        </w:rPr>
      </w:pPr>
      <w:r w:rsidRPr="0052308D">
        <w:rPr>
          <w:rFonts w:asciiTheme="minorHAnsi" w:hAnsiTheme="minorHAnsi"/>
          <w:sz w:val="22"/>
          <w:szCs w:val="22"/>
          <w:lang w:val="sr-Cyrl-BA"/>
        </w:rPr>
        <w:t xml:space="preserve">Pored navedenog, u toku 2024. godine zaprimljeno je 157 elektronskih podnesaka od strane krajnjih kupaca. Po ovim podnescima je blagovremeno postupljeno, te su date upute u cilju ostvarivanja prava, na način da se otklone formalni nedostaci podneska ili da se sa podnescima neposredno obrate elektroenergetskim subjektima na dalje postupanje. </w:t>
      </w:r>
    </w:p>
    <w:p w:rsidR="005A1B74" w:rsidRPr="00281D1F" w:rsidRDefault="005A1B74" w:rsidP="002D1E7C">
      <w:pPr>
        <w:numPr>
          <w:ilvl w:val="0"/>
          <w:numId w:val="26"/>
        </w:numPr>
        <w:spacing w:before="240" w:after="120"/>
        <w:ind w:left="1077" w:hanging="357"/>
        <w:jc w:val="both"/>
        <w:rPr>
          <w:rFonts w:asciiTheme="minorHAnsi" w:hAnsiTheme="minorHAnsi" w:cs="Calibri"/>
          <w:b/>
          <w:i/>
          <w:sz w:val="22"/>
          <w:szCs w:val="22"/>
          <w:lang w:val="sr-Cyrl-BA"/>
        </w:rPr>
      </w:pPr>
      <w:r w:rsidRPr="00281D1F">
        <w:rPr>
          <w:rFonts w:asciiTheme="minorHAnsi" w:hAnsiTheme="minorHAnsi" w:cs="Calibri"/>
          <w:b/>
          <w:i/>
          <w:sz w:val="22"/>
          <w:szCs w:val="22"/>
          <w:lang w:val="sr-Cyrl-BA"/>
        </w:rPr>
        <w:t>Rješavanje žalbi</w:t>
      </w:r>
    </w:p>
    <w:p w:rsidR="005A1B74" w:rsidRPr="00281D1F" w:rsidRDefault="005A1B74" w:rsidP="002D1E7C">
      <w:pPr>
        <w:spacing w:before="120" w:after="120"/>
        <w:jc w:val="both"/>
        <w:rPr>
          <w:rFonts w:asciiTheme="minorHAnsi" w:hAnsiTheme="minorHAnsi"/>
          <w:sz w:val="22"/>
          <w:szCs w:val="22"/>
          <w:lang w:val="sr-Cyrl-BA"/>
        </w:rPr>
      </w:pPr>
      <w:r w:rsidRPr="00281D1F">
        <w:rPr>
          <w:rFonts w:asciiTheme="minorHAnsi" w:hAnsiTheme="minorHAnsi"/>
          <w:sz w:val="22"/>
          <w:szCs w:val="22"/>
          <w:lang w:val="sr-Cyrl-BA"/>
        </w:rPr>
        <w:t>Regulatorna komisija je nadležna da odlučuje o žalbi na rješenje distributera o izdavanju elektroenergetske saglasnosti za priključenje i ponuđeni ugovor o priključenju.</w:t>
      </w:r>
    </w:p>
    <w:p w:rsidR="005A1B74" w:rsidRPr="006454DA" w:rsidRDefault="005A1B74" w:rsidP="002D1E7C">
      <w:pPr>
        <w:spacing w:before="120" w:after="120"/>
        <w:jc w:val="both"/>
        <w:rPr>
          <w:rFonts w:asciiTheme="minorHAnsi" w:hAnsiTheme="minorHAnsi"/>
          <w:sz w:val="22"/>
          <w:szCs w:val="22"/>
          <w:lang w:val="sr-Cyrl-BA"/>
        </w:rPr>
      </w:pPr>
      <w:r w:rsidRPr="006454DA">
        <w:rPr>
          <w:rFonts w:asciiTheme="minorHAnsi" w:hAnsiTheme="minorHAnsi"/>
          <w:sz w:val="22"/>
          <w:szCs w:val="22"/>
          <w:lang w:val="sr-Cyrl-BA"/>
        </w:rPr>
        <w:t xml:space="preserve">U toku 2024. godine, podneseno je 25 žalbi krajnjih kupaca protiv rješenja o izdavanju elektroenergetskih saglasnosti i ponuđenih uslova za zaključenje ugovora o priključenju, a sve podnesene žalbe su riješene. </w:t>
      </w:r>
    </w:p>
    <w:p w:rsidR="005A1B74" w:rsidRPr="006454DA" w:rsidRDefault="005A1B74" w:rsidP="002D1E7C">
      <w:pPr>
        <w:spacing w:before="120" w:after="120"/>
        <w:jc w:val="both"/>
        <w:rPr>
          <w:rFonts w:ascii="Calibri" w:hAnsi="Calibri"/>
          <w:sz w:val="22"/>
          <w:szCs w:val="22"/>
          <w:lang w:val="sr-Cyrl-BA"/>
        </w:rPr>
      </w:pPr>
      <w:r w:rsidRPr="006454DA">
        <w:rPr>
          <w:rFonts w:asciiTheme="minorHAnsi" w:hAnsiTheme="minorHAnsi"/>
          <w:sz w:val="22"/>
          <w:szCs w:val="22"/>
          <w:lang w:val="sr-Cyrl-BA"/>
        </w:rPr>
        <w:t>Regulatorna komisija je takođe postupila po 27 prijava korisnika elektrodistributivne mreže, zbog kršenja propisa i uslova izdatih dozvola, po kojima su donesene mjere, u cilju otklanjanja utvrđenih nezakonitosti i nepravilnosti.</w:t>
      </w:r>
    </w:p>
    <w:p w:rsidR="005A1B74" w:rsidRPr="00281D1F" w:rsidRDefault="005A1B74" w:rsidP="002D1E7C">
      <w:pPr>
        <w:numPr>
          <w:ilvl w:val="0"/>
          <w:numId w:val="26"/>
        </w:numPr>
        <w:spacing w:before="240" w:after="120"/>
        <w:ind w:left="1077" w:hanging="357"/>
        <w:jc w:val="both"/>
        <w:rPr>
          <w:rFonts w:asciiTheme="minorHAnsi" w:hAnsiTheme="minorHAnsi" w:cs="Calibri"/>
          <w:b/>
          <w:i/>
          <w:sz w:val="22"/>
          <w:szCs w:val="22"/>
          <w:lang w:val="sr-Cyrl-BA"/>
        </w:rPr>
      </w:pPr>
      <w:r w:rsidRPr="00281D1F">
        <w:rPr>
          <w:rFonts w:asciiTheme="minorHAnsi" w:hAnsiTheme="minorHAnsi" w:cs="Calibri"/>
          <w:b/>
          <w:i/>
          <w:sz w:val="22"/>
          <w:szCs w:val="22"/>
          <w:lang w:val="sr-Cyrl-BA"/>
        </w:rPr>
        <w:t>Upravni sporovi</w:t>
      </w:r>
    </w:p>
    <w:p w:rsidR="005A1B74" w:rsidRPr="00281D1F" w:rsidRDefault="005A1B74" w:rsidP="002D1E7C">
      <w:pPr>
        <w:spacing w:after="120"/>
        <w:jc w:val="both"/>
        <w:rPr>
          <w:rFonts w:asciiTheme="minorHAnsi" w:hAnsiTheme="minorHAnsi" w:cs="Arial"/>
          <w:sz w:val="22"/>
          <w:szCs w:val="22"/>
          <w:lang w:val="sr-Cyrl-BA"/>
        </w:rPr>
      </w:pPr>
      <w:r w:rsidRPr="00281D1F">
        <w:rPr>
          <w:rFonts w:asciiTheme="minorHAnsi" w:hAnsiTheme="minorHAnsi" w:cs="Arial"/>
          <w:sz w:val="22"/>
          <w:szCs w:val="22"/>
          <w:lang w:val="sr-Cyrl-BA"/>
        </w:rPr>
        <w:t>U toku 202</w:t>
      </w:r>
      <w:r>
        <w:rPr>
          <w:rFonts w:asciiTheme="minorHAnsi" w:hAnsiTheme="minorHAnsi" w:cs="Arial"/>
          <w:sz w:val="22"/>
          <w:szCs w:val="22"/>
          <w:lang w:val="sr-Cyrl-BA"/>
        </w:rPr>
        <w:t>4</w:t>
      </w:r>
      <w:r w:rsidRPr="00281D1F">
        <w:rPr>
          <w:rFonts w:asciiTheme="minorHAnsi" w:hAnsiTheme="minorHAnsi" w:cs="Arial"/>
          <w:sz w:val="22"/>
          <w:szCs w:val="22"/>
          <w:lang w:val="sr-Cyrl-BA"/>
        </w:rPr>
        <w:t>. godine podneseno je 1</w:t>
      </w:r>
      <w:r>
        <w:rPr>
          <w:rFonts w:asciiTheme="minorHAnsi" w:hAnsiTheme="minorHAnsi" w:cs="Arial"/>
          <w:sz w:val="22"/>
          <w:szCs w:val="22"/>
          <w:lang w:val="sr-Cyrl-BA"/>
        </w:rPr>
        <w:t>4</w:t>
      </w:r>
      <w:r w:rsidRPr="00281D1F">
        <w:rPr>
          <w:rFonts w:asciiTheme="minorHAnsi" w:hAnsiTheme="minorHAnsi" w:cs="Arial"/>
          <w:sz w:val="22"/>
          <w:szCs w:val="22"/>
          <w:lang w:val="sr-Cyrl-BA"/>
        </w:rPr>
        <w:t xml:space="preserve"> tužbi za pokretanje upravnog spora Okružnom sudu u Trebinju protiv konačnih rješenja Regulatorne komisije. Podnesene tužbe su se odnosile na rješenja o sporovima i rješenja o uslovima priključenja. U toku </w:t>
      </w:r>
      <w:r>
        <w:rPr>
          <w:rFonts w:asciiTheme="minorHAnsi" w:hAnsiTheme="minorHAnsi" w:cs="Arial"/>
          <w:sz w:val="22"/>
          <w:szCs w:val="22"/>
          <w:lang w:val="sr-Cyrl-BA"/>
        </w:rPr>
        <w:t>2024. godine</w:t>
      </w:r>
      <w:r w:rsidRPr="00281D1F">
        <w:rPr>
          <w:rFonts w:asciiTheme="minorHAnsi" w:hAnsiTheme="minorHAnsi" w:cs="Arial"/>
          <w:sz w:val="22"/>
          <w:szCs w:val="22"/>
          <w:lang w:val="sr-Cyrl-BA"/>
        </w:rPr>
        <w:t xml:space="preserve"> podnesena su i </w:t>
      </w:r>
      <w:r>
        <w:rPr>
          <w:rFonts w:asciiTheme="minorHAnsi" w:hAnsiTheme="minorHAnsi" w:cs="Arial"/>
          <w:sz w:val="22"/>
          <w:szCs w:val="22"/>
          <w:lang w:val="sr-Cyrl-BA"/>
        </w:rPr>
        <w:t>četiri</w:t>
      </w:r>
      <w:r w:rsidRPr="00281D1F">
        <w:rPr>
          <w:rFonts w:asciiTheme="minorHAnsi" w:hAnsiTheme="minorHAnsi" w:cs="Arial"/>
          <w:sz w:val="22"/>
          <w:szCs w:val="22"/>
          <w:lang w:val="sr-Cyrl-BA"/>
        </w:rPr>
        <w:t xml:space="preserve"> zahtjeva za vanredno preispitivanje pravosnažne odluke nadležnog suda pred Vrhovnim sudom Republike Srpske, u vezi sa rješenjima Regulatorne komisije.</w:t>
      </w:r>
    </w:p>
    <w:p w:rsidR="005A1B74" w:rsidRPr="00281D1F" w:rsidRDefault="005A1B74" w:rsidP="002D1E7C">
      <w:pPr>
        <w:spacing w:after="120"/>
        <w:jc w:val="both"/>
        <w:rPr>
          <w:rFonts w:asciiTheme="minorHAnsi" w:hAnsiTheme="minorHAnsi" w:cs="Arial"/>
          <w:sz w:val="22"/>
          <w:szCs w:val="22"/>
          <w:lang w:val="sr-Cyrl-BA"/>
        </w:rPr>
      </w:pPr>
      <w:r w:rsidRPr="00281D1F">
        <w:rPr>
          <w:rFonts w:asciiTheme="minorHAnsi" w:hAnsiTheme="minorHAnsi" w:cs="Arial"/>
          <w:sz w:val="22"/>
          <w:szCs w:val="22"/>
          <w:lang w:val="sr-Cyrl-BA"/>
        </w:rPr>
        <w:t>Postupajući po podnesenim tužbama, blagovremeno su dostavljani odgovori na tužbe sa kopijom kompletnog spisa predmeta.</w:t>
      </w:r>
    </w:p>
    <w:p w:rsidR="005A1B74" w:rsidRPr="00281D1F" w:rsidRDefault="005A1B74" w:rsidP="002D1E7C">
      <w:pPr>
        <w:tabs>
          <w:tab w:val="left" w:pos="3276"/>
        </w:tabs>
        <w:spacing w:before="120" w:after="120"/>
        <w:jc w:val="both"/>
        <w:rPr>
          <w:rFonts w:asciiTheme="minorHAnsi" w:hAnsiTheme="minorHAnsi" w:cs="Arial"/>
          <w:sz w:val="22"/>
          <w:szCs w:val="22"/>
          <w:lang w:val="sr-Cyrl-BA"/>
        </w:rPr>
      </w:pPr>
      <w:r w:rsidRPr="00281D1F">
        <w:rPr>
          <w:rFonts w:ascii="Calibri" w:hAnsi="Calibri" w:cs="Arial"/>
          <w:sz w:val="22"/>
          <w:szCs w:val="22"/>
          <w:lang w:val="sr-Cyrl-BA"/>
        </w:rPr>
        <w:t>Okružni sud u Trebinju je donio presud</w:t>
      </w:r>
      <w:r>
        <w:rPr>
          <w:rFonts w:ascii="Calibri" w:hAnsi="Calibri" w:cs="Arial"/>
          <w:sz w:val="22"/>
          <w:szCs w:val="22"/>
          <w:lang w:val="sr-Cyrl-BA"/>
        </w:rPr>
        <w:t>e</w:t>
      </w:r>
      <w:r w:rsidRPr="00281D1F">
        <w:rPr>
          <w:rFonts w:ascii="Calibri" w:hAnsi="Calibri" w:cs="Arial"/>
          <w:sz w:val="22"/>
          <w:szCs w:val="22"/>
          <w:lang w:val="sr-Cyrl-BA"/>
        </w:rPr>
        <w:t xml:space="preserve"> po </w:t>
      </w:r>
      <w:r>
        <w:rPr>
          <w:rFonts w:ascii="Calibri" w:hAnsi="Calibri" w:cs="Arial"/>
          <w:sz w:val="22"/>
          <w:szCs w:val="22"/>
          <w:lang w:val="sr-Cyrl-BA"/>
        </w:rPr>
        <w:t xml:space="preserve">podnesenim </w:t>
      </w:r>
      <w:r w:rsidRPr="00281D1F">
        <w:rPr>
          <w:rFonts w:ascii="Calibri" w:hAnsi="Calibri" w:cs="Arial"/>
          <w:sz w:val="22"/>
          <w:szCs w:val="22"/>
          <w:lang w:val="sr-Cyrl-BA"/>
        </w:rPr>
        <w:t xml:space="preserve">tužbama, a </w:t>
      </w:r>
      <w:r>
        <w:rPr>
          <w:rFonts w:ascii="Calibri" w:hAnsi="Calibri" w:cs="Arial"/>
          <w:sz w:val="22"/>
          <w:szCs w:val="22"/>
          <w:lang w:val="sr-Cyrl-BA"/>
        </w:rPr>
        <w:t>u</w:t>
      </w:r>
      <w:r w:rsidRPr="00281D1F">
        <w:rPr>
          <w:rFonts w:ascii="Calibri" w:hAnsi="Calibri" w:cs="Arial"/>
          <w:sz w:val="22"/>
          <w:szCs w:val="22"/>
          <w:lang w:val="sr-Cyrl-BA"/>
        </w:rPr>
        <w:t xml:space="preserve"> dva </w:t>
      </w:r>
      <w:r>
        <w:rPr>
          <w:rFonts w:ascii="Calibri" w:hAnsi="Calibri" w:cs="Arial"/>
          <w:sz w:val="22"/>
          <w:szCs w:val="22"/>
          <w:lang w:val="sr-Cyrl-BA"/>
        </w:rPr>
        <w:t xml:space="preserve">slučaja su </w:t>
      </w:r>
      <w:r w:rsidRPr="00281D1F">
        <w:rPr>
          <w:rFonts w:ascii="Calibri" w:hAnsi="Calibri" w:cs="Arial"/>
          <w:sz w:val="22"/>
          <w:szCs w:val="22"/>
          <w:lang w:val="sr-Cyrl-BA"/>
        </w:rPr>
        <w:t>predmet</w:t>
      </w:r>
      <w:r>
        <w:rPr>
          <w:rFonts w:ascii="Calibri" w:hAnsi="Calibri" w:cs="Arial"/>
          <w:sz w:val="22"/>
          <w:szCs w:val="22"/>
          <w:lang w:val="sr-Cyrl-BA"/>
        </w:rPr>
        <w:t>i</w:t>
      </w:r>
      <w:r w:rsidRPr="00281D1F">
        <w:rPr>
          <w:rFonts w:ascii="Calibri" w:hAnsi="Calibri" w:cs="Arial"/>
          <w:sz w:val="22"/>
          <w:szCs w:val="22"/>
          <w:lang w:val="sr-Cyrl-BA"/>
        </w:rPr>
        <w:t xml:space="preserve"> vraćen</w:t>
      </w:r>
      <w:r>
        <w:rPr>
          <w:rFonts w:ascii="Calibri" w:hAnsi="Calibri" w:cs="Arial"/>
          <w:sz w:val="22"/>
          <w:szCs w:val="22"/>
          <w:lang w:val="sr-Cyrl-BA"/>
        </w:rPr>
        <w:t>i</w:t>
      </w:r>
      <w:r w:rsidRPr="00281D1F">
        <w:rPr>
          <w:rFonts w:ascii="Calibri" w:hAnsi="Calibri" w:cs="Arial"/>
          <w:sz w:val="22"/>
          <w:szCs w:val="22"/>
          <w:lang w:val="sr-Cyrl-BA"/>
        </w:rPr>
        <w:t xml:space="preserve"> na ponovno odlučivanje.</w:t>
      </w:r>
    </w:p>
    <w:p w:rsidR="005A1B74" w:rsidRPr="00281D1F" w:rsidRDefault="005A1B74" w:rsidP="002D1E7C">
      <w:pPr>
        <w:spacing w:before="120" w:after="120"/>
        <w:jc w:val="both"/>
        <w:rPr>
          <w:rFonts w:asciiTheme="minorHAnsi" w:hAnsiTheme="minorHAnsi" w:cs="Arial"/>
          <w:sz w:val="22"/>
          <w:szCs w:val="22"/>
          <w:lang w:val="sr-Cyrl-BA"/>
        </w:rPr>
      </w:pPr>
      <w:r w:rsidRPr="00281D1F">
        <w:rPr>
          <w:rFonts w:asciiTheme="minorHAnsi" w:hAnsiTheme="minorHAnsi" w:cs="Arial"/>
          <w:sz w:val="22"/>
          <w:szCs w:val="22"/>
          <w:lang w:val="sr-Cyrl-BA"/>
        </w:rPr>
        <w:lastRenderedPageBreak/>
        <w:t xml:space="preserve">Potrebno je istaći da se većina tužbi odnosila na sporove u vezi sa osporavanjem osnova za obračun utrošene električne energije. </w:t>
      </w:r>
    </w:p>
    <w:p w:rsidR="005A1B74" w:rsidRPr="00281D1F" w:rsidRDefault="005A1B74" w:rsidP="002D1E7C">
      <w:pPr>
        <w:numPr>
          <w:ilvl w:val="0"/>
          <w:numId w:val="26"/>
        </w:numPr>
        <w:spacing w:before="240" w:after="120"/>
        <w:ind w:left="1077" w:hanging="357"/>
        <w:jc w:val="both"/>
        <w:rPr>
          <w:rFonts w:asciiTheme="minorHAnsi" w:hAnsiTheme="minorHAnsi" w:cs="Calibri"/>
          <w:i/>
          <w:sz w:val="22"/>
          <w:szCs w:val="22"/>
          <w:lang w:val="sr-Cyrl-BA"/>
        </w:rPr>
      </w:pPr>
      <w:r w:rsidRPr="00281D1F">
        <w:rPr>
          <w:rFonts w:asciiTheme="minorHAnsi" w:hAnsiTheme="minorHAnsi" w:cs="Calibri"/>
          <w:b/>
          <w:i/>
          <w:sz w:val="22"/>
          <w:szCs w:val="22"/>
          <w:lang w:val="sr-Cyrl-BA"/>
        </w:rPr>
        <w:t xml:space="preserve">Karakteristike pojedinih vrsta sporova </w:t>
      </w:r>
    </w:p>
    <w:p w:rsidR="005A1B74" w:rsidRPr="00143EE4" w:rsidRDefault="005A1B74" w:rsidP="002D1E7C">
      <w:pPr>
        <w:spacing w:before="240" w:after="120"/>
        <w:jc w:val="both"/>
        <w:rPr>
          <w:rFonts w:asciiTheme="minorHAnsi" w:hAnsiTheme="minorHAnsi" w:cs="Calibri"/>
          <w:sz w:val="22"/>
          <w:szCs w:val="22"/>
          <w:lang w:val="sr-Cyrl-BA"/>
        </w:rPr>
      </w:pPr>
      <w:bookmarkStart w:id="123" w:name="_Toc179267764"/>
      <w:bookmarkStart w:id="124" w:name="_Toc179267847"/>
      <w:bookmarkStart w:id="125" w:name="_Toc293411082"/>
      <w:bookmarkStart w:id="126" w:name="_Toc293414770"/>
      <w:bookmarkStart w:id="127" w:name="_Toc293563720"/>
      <w:bookmarkStart w:id="128" w:name="_Toc358640041"/>
      <w:bookmarkStart w:id="129" w:name="_Toc358640259"/>
      <w:bookmarkStart w:id="130" w:name="_Toc358640477"/>
      <w:bookmarkStart w:id="131" w:name="_Toc358640901"/>
      <w:bookmarkEnd w:id="123"/>
      <w:bookmarkEnd w:id="124"/>
      <w:r w:rsidRPr="00143EE4">
        <w:rPr>
          <w:rFonts w:asciiTheme="minorHAnsi" w:hAnsiTheme="minorHAnsi" w:cs="Calibri"/>
          <w:sz w:val="22"/>
          <w:szCs w:val="22"/>
          <w:lang w:val="sr-Cyrl-BA"/>
        </w:rPr>
        <w:t>Najveći broj, odnosno 61% sporova</w:t>
      </w:r>
      <w:r>
        <w:rPr>
          <w:rFonts w:asciiTheme="minorHAnsi" w:hAnsiTheme="minorHAnsi" w:cs="Calibri"/>
          <w:sz w:val="22"/>
          <w:szCs w:val="22"/>
          <w:lang w:val="sr-Cyrl-BA"/>
        </w:rPr>
        <w:t>,</w:t>
      </w:r>
      <w:r w:rsidRPr="00143EE4">
        <w:rPr>
          <w:rFonts w:asciiTheme="minorHAnsi" w:hAnsiTheme="minorHAnsi" w:cs="Calibri"/>
          <w:sz w:val="22"/>
          <w:szCs w:val="22"/>
          <w:lang w:val="sr-Cyrl-BA"/>
        </w:rPr>
        <w:t xml:space="preserve"> se odnosi na obračun utrošene električne energije. Ovi sporovi se uglavnom odnose na enormno visoke račune u određenim obračunskim periodima, a posljedica su neredovnog očitanja isporučene električne energije. Ono što jeste karakteristično u ovim situacijama je činjenica da operator distributivnog sistema u svojim evidencijama unosi konstatacije da su mjerna mjesta redovno očitavana. Ovakve radnje prouzrokuju štetne posljedice po krajnje kupce, jer su zatečeni sa visokim računima, uslijed čega se gubi povjerenje u ugovornim odnosima, a posebno što im se neosnovano obračunava utrošena električna energije, po većim tarifama, budući da prikaz potrošnje u jednom mjesecu iz prethodnog perioda, dovodi</w:t>
      </w:r>
      <w:r>
        <w:rPr>
          <w:rFonts w:asciiTheme="minorHAnsi" w:hAnsiTheme="minorHAnsi" w:cs="Calibri"/>
          <w:sz w:val="22"/>
          <w:szCs w:val="22"/>
          <w:lang w:val="sr-Cyrl-BA"/>
        </w:rPr>
        <w:t xml:space="preserve"> po probijanja </w:t>
      </w:r>
      <w:r>
        <w:rPr>
          <w:rFonts w:asciiTheme="minorHAnsi" w:hAnsiTheme="minorHAnsi" w:cs="Calibri"/>
          <w:sz w:val="22"/>
          <w:szCs w:val="22"/>
          <w:lang w:val="bs-Latn-BA"/>
        </w:rPr>
        <w:t>„</w:t>
      </w:r>
      <w:r>
        <w:rPr>
          <w:rFonts w:asciiTheme="minorHAnsi" w:hAnsiTheme="minorHAnsi" w:cs="Calibri"/>
          <w:sz w:val="22"/>
          <w:szCs w:val="22"/>
          <w:lang w:val="sr-Cyrl-BA"/>
        </w:rPr>
        <w:t>pragova potrošnje</w:t>
      </w:r>
      <w:r>
        <w:rPr>
          <w:rFonts w:asciiTheme="minorHAnsi" w:hAnsiTheme="minorHAnsi"/>
          <w:sz w:val="22"/>
          <w:szCs w:val="22"/>
          <w:lang w:val="bs-Latn-BA"/>
        </w:rPr>
        <w:t>”</w:t>
      </w:r>
      <w:r w:rsidRPr="00143EE4">
        <w:rPr>
          <w:rFonts w:asciiTheme="minorHAnsi" w:hAnsiTheme="minorHAnsi" w:cs="Calibri"/>
          <w:sz w:val="22"/>
          <w:szCs w:val="22"/>
          <w:lang w:val="sr-Cyrl-BA"/>
        </w:rPr>
        <w:t xml:space="preserve">, a što ne odgovara stvarnom stanju mjesečne potrošnje u tom periodu. </w:t>
      </w:r>
    </w:p>
    <w:p w:rsidR="005A1B74" w:rsidRPr="00143EE4" w:rsidRDefault="005A1B74" w:rsidP="002D1E7C">
      <w:pPr>
        <w:spacing w:before="240" w:after="120"/>
        <w:jc w:val="both"/>
        <w:rPr>
          <w:rFonts w:asciiTheme="minorHAnsi" w:hAnsiTheme="minorHAnsi" w:cs="Calibri"/>
          <w:sz w:val="22"/>
          <w:szCs w:val="22"/>
          <w:lang w:val="sr-Cyrl-BA"/>
        </w:rPr>
      </w:pPr>
      <w:r w:rsidRPr="00143EE4">
        <w:rPr>
          <w:rFonts w:asciiTheme="minorHAnsi" w:hAnsiTheme="minorHAnsi" w:cs="Calibri"/>
          <w:sz w:val="22"/>
          <w:szCs w:val="22"/>
          <w:lang w:val="sr-Cyrl-BA"/>
        </w:rPr>
        <w:t>Takođe su karakteristični sporovi o korekciji obračuna utrošene električni energije u situacijama kada za to nema pravnog osnova, kao i osporavanje računa za utrošenu električnu energiju zbog neispravnosti brojila i zbog isteka važnosti verifikacionog žica na brojilima, koja se zbog toga ne mogu upotrebljavati na osnovu zakonskih propisa. I u takvim situacijama su se morali usvajati zahtjevi krajnjih kupaca, što je na štetu elektroenergetskih subjekata. Uzrok ovih pojava se može i mora otkloniti, savjesnim i ažurnim preduzimanjem redovnih poslova operatora distributivnih sistema.</w:t>
      </w:r>
    </w:p>
    <w:p w:rsidR="005A1B74" w:rsidRPr="00143EE4" w:rsidRDefault="005A1B74" w:rsidP="002D1E7C">
      <w:pPr>
        <w:spacing w:before="240" w:after="120"/>
        <w:jc w:val="both"/>
        <w:rPr>
          <w:rFonts w:asciiTheme="minorHAnsi" w:hAnsiTheme="minorHAnsi" w:cs="Calibri"/>
          <w:sz w:val="22"/>
          <w:szCs w:val="22"/>
          <w:lang w:val="sr-Cyrl-BA"/>
        </w:rPr>
      </w:pPr>
      <w:r w:rsidRPr="00143EE4">
        <w:rPr>
          <w:rFonts w:asciiTheme="minorHAnsi" w:hAnsiTheme="minorHAnsi" w:cs="Calibri"/>
          <w:sz w:val="22"/>
          <w:szCs w:val="22"/>
          <w:lang w:val="sr-Cyrl-BA"/>
        </w:rPr>
        <w:t>Od ukupnog broja sporova</w:t>
      </w:r>
      <w:r>
        <w:rPr>
          <w:rFonts w:asciiTheme="minorHAnsi" w:hAnsiTheme="minorHAnsi" w:cs="Calibri"/>
          <w:sz w:val="22"/>
          <w:szCs w:val="22"/>
          <w:lang w:val="sr-Cyrl-BA"/>
        </w:rPr>
        <w:t>,</w:t>
      </w:r>
      <w:r w:rsidRPr="00143EE4">
        <w:rPr>
          <w:rFonts w:asciiTheme="minorHAnsi" w:hAnsiTheme="minorHAnsi" w:cs="Calibri"/>
          <w:sz w:val="22"/>
          <w:szCs w:val="22"/>
          <w:lang w:val="sr-Cyrl-BA"/>
        </w:rPr>
        <w:t xml:space="preserve"> 6,8 % se odnosi na neovlašćenu potrošnju, a ovaj podatak potvrđuje da je neovlašćena potrošnja električne energije i dalje prisutna na terenu. S obzirom da neovlašćena potrošnja električne energije povlači i krivičnu odgovornost, u neznatnom broju slučajeva je takva odgovornost i utvrđivana, te zbog toga izostaje preventivno djelovanje na sprečavanju ovih pojava. Uzrok toga su propuštanja dužnih radnji i operatora distributivnih sistema i drugih nadležnih organa. Posebno su uočeni propusti na dokumentovanju neovlašćene potrošnje djelovanjem magneta na brojilo. </w:t>
      </w:r>
    </w:p>
    <w:p w:rsidR="005A1B74" w:rsidRPr="00143EE4" w:rsidRDefault="005A1B74" w:rsidP="002D1E7C">
      <w:pPr>
        <w:spacing w:before="240" w:after="120"/>
        <w:jc w:val="both"/>
        <w:rPr>
          <w:rFonts w:asciiTheme="minorHAnsi" w:hAnsiTheme="minorHAnsi" w:cs="Calibri"/>
          <w:sz w:val="22"/>
          <w:szCs w:val="22"/>
          <w:lang w:val="sr-Cyrl-BA"/>
        </w:rPr>
      </w:pPr>
      <w:r w:rsidRPr="00143EE4">
        <w:rPr>
          <w:rFonts w:asciiTheme="minorHAnsi" w:hAnsiTheme="minorHAnsi" w:cs="Calibri"/>
          <w:sz w:val="22"/>
          <w:szCs w:val="22"/>
          <w:lang w:val="sr-Cyrl-BA"/>
        </w:rPr>
        <w:t>Što se tiče kvaliteta snabdijevanja električnom energijom, broj ovakvih sporova u ukupnom broju je 4,4</w:t>
      </w:r>
      <w:r>
        <w:rPr>
          <w:rFonts w:asciiTheme="minorHAnsi" w:hAnsiTheme="minorHAnsi" w:cs="Calibri"/>
          <w:sz w:val="22"/>
          <w:szCs w:val="22"/>
          <w:lang w:val="sr-Cyrl-BA"/>
        </w:rPr>
        <w:t xml:space="preserve"> </w:t>
      </w:r>
      <w:r w:rsidRPr="00143EE4">
        <w:rPr>
          <w:rFonts w:asciiTheme="minorHAnsi" w:hAnsiTheme="minorHAnsi" w:cs="Calibri"/>
          <w:sz w:val="22"/>
          <w:szCs w:val="22"/>
          <w:lang w:val="sr-Cyrl-BA"/>
        </w:rPr>
        <w:t>%, a ovi sporovi se uglavnom odnose na kvalitet napajanja, uzrokovan nezadovoljavajućim stanjem na elektrodistributivnoj mreži. Ov</w:t>
      </w:r>
      <w:r>
        <w:rPr>
          <w:rFonts w:asciiTheme="minorHAnsi" w:hAnsiTheme="minorHAnsi" w:cs="Calibri"/>
          <w:sz w:val="22"/>
          <w:szCs w:val="22"/>
          <w:lang w:val="sr-Cyrl-BA"/>
        </w:rPr>
        <w:t>e</w:t>
      </w:r>
      <w:r w:rsidRPr="00143EE4">
        <w:rPr>
          <w:rFonts w:asciiTheme="minorHAnsi" w:hAnsiTheme="minorHAnsi" w:cs="Calibri"/>
          <w:sz w:val="22"/>
          <w:szCs w:val="22"/>
          <w:lang w:val="sr-Cyrl-BA"/>
        </w:rPr>
        <w:t xml:space="preserve"> situacije treba predupređivati, te stanje na mreži uspostavljati u skladu sa tehničkim standardima. Postojanje ovakve vrste sporova ukazuje na nedovoljno ulaganje u održavanje i razvoj elektrodistribitivne mreže.</w:t>
      </w:r>
    </w:p>
    <w:p w:rsidR="005A1B74" w:rsidRPr="00143EE4" w:rsidRDefault="005A1B74" w:rsidP="002D1E7C">
      <w:pPr>
        <w:spacing w:before="240" w:after="120"/>
        <w:jc w:val="both"/>
        <w:rPr>
          <w:rFonts w:asciiTheme="minorHAnsi" w:hAnsiTheme="minorHAnsi" w:cs="Calibri"/>
          <w:sz w:val="22"/>
          <w:szCs w:val="22"/>
          <w:lang w:val="sr-Cyrl-BA"/>
        </w:rPr>
      </w:pPr>
      <w:r w:rsidRPr="00143EE4">
        <w:rPr>
          <w:rFonts w:asciiTheme="minorHAnsi" w:hAnsiTheme="minorHAnsi" w:cs="Calibri"/>
          <w:sz w:val="22"/>
          <w:szCs w:val="22"/>
          <w:lang w:val="sr-Cyrl-BA"/>
        </w:rPr>
        <w:t xml:space="preserve">Bilo je više prijava kupaca - proizvođača sa kojima javni snabdjevač nije zaključio ugovor o snabdijevanju po sistemu neto obračuna ili mjerenja. Ovo su protivzakonite situacije, te je Regulatorna komisija postupajući po prijavama kupaca – proizvođača, donosila rješenja o mjerama, kojima je nalagano snabdjevaču da zaključi ugovor te da izvrši odgovarajući obračun od momenta sticanja statusa kupca – proizvođača. </w:t>
      </w:r>
    </w:p>
    <w:p w:rsidR="005A1B74" w:rsidRPr="00281D1F" w:rsidRDefault="005A1B74" w:rsidP="002D1E7C">
      <w:pPr>
        <w:pStyle w:val="Heading3"/>
        <w:numPr>
          <w:ilvl w:val="1"/>
          <w:numId w:val="31"/>
        </w:numPr>
        <w:spacing w:after="240"/>
        <w:rPr>
          <w:rFonts w:asciiTheme="minorHAnsi" w:hAnsiTheme="minorHAnsi"/>
          <w:lang w:val="sr-Cyrl-BA"/>
        </w:rPr>
      </w:pPr>
      <w:bookmarkStart w:id="132" w:name="_Toc210301160"/>
      <w:r w:rsidRPr="00281D1F">
        <w:rPr>
          <w:rFonts w:asciiTheme="minorHAnsi" w:hAnsiTheme="minorHAnsi"/>
          <w:lang w:val="sr-Cyrl-BA"/>
        </w:rPr>
        <w:t>Regulisanje sektora prirodnog gasa</w:t>
      </w:r>
      <w:bookmarkStart w:id="133" w:name="_Toc293411083"/>
      <w:bookmarkStart w:id="134" w:name="_Toc293414771"/>
      <w:bookmarkStart w:id="135" w:name="_Toc293563721"/>
      <w:bookmarkEnd w:id="125"/>
      <w:bookmarkEnd w:id="126"/>
      <w:bookmarkEnd w:id="127"/>
      <w:bookmarkEnd w:id="128"/>
      <w:bookmarkEnd w:id="129"/>
      <w:bookmarkEnd w:id="130"/>
      <w:bookmarkEnd w:id="131"/>
      <w:bookmarkEnd w:id="132"/>
    </w:p>
    <w:p w:rsidR="005A1B74" w:rsidRPr="00281D1F" w:rsidRDefault="005A1B74" w:rsidP="002D1E7C">
      <w:pPr>
        <w:pStyle w:val="Heading3"/>
        <w:numPr>
          <w:ilvl w:val="2"/>
          <w:numId w:val="32"/>
        </w:numPr>
        <w:spacing w:after="240"/>
        <w:rPr>
          <w:rFonts w:asciiTheme="minorHAnsi" w:hAnsiTheme="minorHAnsi"/>
          <w:sz w:val="24"/>
          <w:lang w:val="sr-Cyrl-BA"/>
        </w:rPr>
      </w:pPr>
      <w:bookmarkStart w:id="136" w:name="_Toc358640042"/>
      <w:bookmarkStart w:id="137" w:name="_Toc358640260"/>
      <w:bookmarkStart w:id="138" w:name="_Toc358640478"/>
      <w:bookmarkStart w:id="139" w:name="_Toc358640902"/>
      <w:bookmarkStart w:id="140" w:name="_Toc210301161"/>
      <w:r w:rsidRPr="00281D1F">
        <w:rPr>
          <w:rFonts w:asciiTheme="minorHAnsi" w:hAnsiTheme="minorHAnsi"/>
          <w:sz w:val="24"/>
          <w:lang w:val="sr-Cyrl-BA"/>
        </w:rPr>
        <w:t>Donošenje i odobravanje pravila i propisa</w:t>
      </w:r>
      <w:bookmarkEnd w:id="133"/>
      <w:bookmarkEnd w:id="134"/>
      <w:bookmarkEnd w:id="135"/>
      <w:bookmarkEnd w:id="136"/>
      <w:bookmarkEnd w:id="137"/>
      <w:bookmarkEnd w:id="138"/>
      <w:bookmarkEnd w:id="139"/>
      <w:bookmarkEnd w:id="140"/>
    </w:p>
    <w:p w:rsidR="005A1B74" w:rsidRPr="0037433A" w:rsidRDefault="005A1B74" w:rsidP="002D1E7C">
      <w:pPr>
        <w:spacing w:before="120" w:after="120"/>
        <w:jc w:val="both"/>
        <w:rPr>
          <w:rFonts w:asciiTheme="minorHAnsi" w:hAnsiTheme="minorHAnsi" w:cs="Calibri"/>
          <w:sz w:val="22"/>
          <w:szCs w:val="22"/>
          <w:lang w:val="sr-Cyrl-BA"/>
        </w:rPr>
      </w:pPr>
      <w:r w:rsidRPr="0037433A">
        <w:rPr>
          <w:rFonts w:asciiTheme="minorHAnsi" w:hAnsiTheme="minorHAnsi" w:cs="Calibri"/>
          <w:sz w:val="22"/>
          <w:szCs w:val="22"/>
          <w:lang w:val="sr-Cyrl-BA"/>
        </w:rPr>
        <w:t>Regulatorna komisija je tokom 2024. godine donijela, te dala odobrenja ili saglasnosti na podzakonske akte iz oblasti prirodnog gasa kako slijedi:</w:t>
      </w:r>
    </w:p>
    <w:p w:rsidR="005A1B74" w:rsidRPr="0037433A" w:rsidRDefault="005A1B74" w:rsidP="002D1E7C">
      <w:pPr>
        <w:pStyle w:val="ListParagraph"/>
        <w:numPr>
          <w:ilvl w:val="0"/>
          <w:numId w:val="29"/>
        </w:numPr>
        <w:ind w:left="357" w:hanging="357"/>
        <w:jc w:val="both"/>
        <w:rPr>
          <w:rFonts w:asciiTheme="minorHAnsi" w:hAnsiTheme="minorHAnsi"/>
          <w:sz w:val="22"/>
          <w:szCs w:val="22"/>
          <w:lang w:val="sr-Cyrl-BA"/>
        </w:rPr>
      </w:pPr>
      <w:r w:rsidRPr="0037433A">
        <w:rPr>
          <w:rFonts w:asciiTheme="minorHAnsi" w:hAnsiTheme="minorHAnsi"/>
          <w:sz w:val="22"/>
          <w:szCs w:val="22"/>
          <w:lang w:val="sr-Cyrl-BA"/>
        </w:rPr>
        <w:t>saglasnost na „Opšte uslove za snabdijevanje prirodnim gasom“ privrednih društava: „Sarajevo gas” a.d. Istočno Sarajevo, A.D „Zvornik – stan” Zvornik</w:t>
      </w:r>
      <w:r w:rsidRPr="0037433A" w:rsidDel="002F3B38">
        <w:rPr>
          <w:rFonts w:asciiTheme="minorHAnsi" w:hAnsiTheme="minorHAnsi" w:cs="Calibri"/>
          <w:sz w:val="22"/>
          <w:szCs w:val="22"/>
          <w:lang w:val="sr-Cyrl-BA"/>
        </w:rPr>
        <w:t xml:space="preserve"> </w:t>
      </w:r>
      <w:r w:rsidRPr="0037433A">
        <w:rPr>
          <w:rFonts w:asciiTheme="minorHAnsi" w:hAnsiTheme="minorHAnsi"/>
          <w:sz w:val="22"/>
          <w:szCs w:val="22"/>
          <w:lang w:val="sr-Cyrl-BA"/>
        </w:rPr>
        <w:t>i „</w:t>
      </w:r>
      <w:r w:rsidRPr="0037433A">
        <w:rPr>
          <w:rFonts w:asciiTheme="minorHAnsi" w:hAnsiTheme="minorHAnsi"/>
          <w:sz w:val="22"/>
          <w:szCs w:val="22"/>
          <w:lang w:val="sr-Latn-BA"/>
        </w:rPr>
        <w:t>MET ENERGY</w:t>
      </w:r>
      <w:r w:rsidRPr="0037433A">
        <w:rPr>
          <w:rFonts w:asciiTheme="minorHAnsi" w:hAnsiTheme="minorHAnsi"/>
          <w:sz w:val="22"/>
          <w:szCs w:val="22"/>
          <w:lang w:val="sr-Cyrl-BA"/>
        </w:rPr>
        <w:t xml:space="preserve"> </w:t>
      </w:r>
      <w:r w:rsidRPr="0037433A">
        <w:rPr>
          <w:rFonts w:asciiTheme="minorHAnsi" w:hAnsiTheme="minorHAnsi"/>
          <w:sz w:val="22"/>
          <w:szCs w:val="22"/>
          <w:lang w:val="sr-Latn-BA"/>
        </w:rPr>
        <w:t xml:space="preserve">BH“ </w:t>
      </w:r>
      <w:r w:rsidRPr="0037433A">
        <w:rPr>
          <w:rFonts w:asciiTheme="minorHAnsi" w:hAnsiTheme="minorHAnsi"/>
          <w:sz w:val="22"/>
          <w:szCs w:val="22"/>
          <w:lang w:val="sr-Cyrl-BA"/>
        </w:rPr>
        <w:t>d.o.o. Banja Luka.</w:t>
      </w:r>
    </w:p>
    <w:p w:rsidR="005A1B74" w:rsidRPr="0037433A" w:rsidRDefault="005A1B74" w:rsidP="002D1E7C">
      <w:pPr>
        <w:pStyle w:val="ListParagraph"/>
        <w:numPr>
          <w:ilvl w:val="0"/>
          <w:numId w:val="29"/>
        </w:numPr>
        <w:ind w:left="357" w:hanging="357"/>
        <w:jc w:val="both"/>
        <w:rPr>
          <w:rFonts w:asciiTheme="minorHAnsi" w:hAnsiTheme="minorHAnsi"/>
          <w:sz w:val="22"/>
          <w:szCs w:val="22"/>
          <w:lang w:val="sr-Cyrl-BA"/>
        </w:rPr>
      </w:pPr>
      <w:r w:rsidRPr="0037433A">
        <w:rPr>
          <w:rFonts w:asciiTheme="minorHAnsi" w:hAnsiTheme="minorHAnsi"/>
          <w:sz w:val="22"/>
          <w:szCs w:val="22"/>
          <w:lang w:val="sr-Cyrl-BA"/>
        </w:rPr>
        <w:t>saglasnost na „Pravila o radu disributivnog sistema za prirodni gas“ privrednog društava: „Sarajevo gas” a.d. Istočno Sarajevo i</w:t>
      </w:r>
    </w:p>
    <w:p w:rsidR="005A1B74" w:rsidRPr="0037433A" w:rsidRDefault="005A1B74" w:rsidP="002D1E7C">
      <w:pPr>
        <w:pStyle w:val="ListParagraph"/>
        <w:numPr>
          <w:ilvl w:val="0"/>
          <w:numId w:val="29"/>
        </w:numPr>
        <w:ind w:left="357" w:hanging="357"/>
        <w:jc w:val="both"/>
        <w:rPr>
          <w:lang w:val="sr-Cyrl-BA"/>
        </w:rPr>
      </w:pPr>
      <w:r w:rsidRPr="0037433A">
        <w:rPr>
          <w:rFonts w:asciiTheme="minorHAnsi" w:hAnsiTheme="minorHAnsi"/>
          <w:sz w:val="22"/>
          <w:szCs w:val="22"/>
          <w:lang w:val="sr-Cyrl-BA"/>
        </w:rPr>
        <w:lastRenderedPageBreak/>
        <w:t xml:space="preserve">saglasnost na </w:t>
      </w:r>
      <w:r w:rsidRPr="0037433A">
        <w:rPr>
          <w:rFonts w:asciiTheme="minorHAnsi" w:hAnsiTheme="minorHAnsi" w:cs="Calibri"/>
          <w:sz w:val="22"/>
          <w:szCs w:val="22"/>
          <w:lang w:val="sr-Cyrl-BA"/>
        </w:rPr>
        <w:t>„Plan razvoja transportnog sistema prirodnog gasa za period 202</w:t>
      </w:r>
      <w:r w:rsidRPr="0037433A">
        <w:rPr>
          <w:rFonts w:asciiTheme="minorHAnsi" w:hAnsiTheme="minorHAnsi" w:cs="Calibri"/>
          <w:sz w:val="22"/>
          <w:szCs w:val="22"/>
          <w:lang w:val="sr-Latn-BA"/>
        </w:rPr>
        <w:t>5</w:t>
      </w:r>
      <w:r w:rsidRPr="0037433A">
        <w:rPr>
          <w:rFonts w:asciiTheme="minorHAnsi" w:hAnsiTheme="minorHAnsi" w:cs="Calibri"/>
          <w:sz w:val="22"/>
          <w:szCs w:val="22"/>
          <w:lang w:val="sr-Cyrl-BA"/>
        </w:rPr>
        <w:t xml:space="preserve">-2034. godina” </w:t>
      </w:r>
      <w:r w:rsidRPr="0037433A">
        <w:rPr>
          <w:rFonts w:asciiTheme="minorHAnsi" w:hAnsiTheme="minorHAnsi"/>
          <w:sz w:val="22"/>
          <w:szCs w:val="22"/>
          <w:lang w:val="sr-Cyrl-BA"/>
        </w:rPr>
        <w:t xml:space="preserve"> privrednom društvu „Gas promet“ </w:t>
      </w:r>
      <w:r w:rsidRPr="0037433A">
        <w:rPr>
          <w:rFonts w:asciiTheme="minorHAnsi" w:hAnsiTheme="minorHAnsi" w:cs="Calibri"/>
          <w:sz w:val="22"/>
          <w:szCs w:val="22"/>
          <w:lang w:val="sr-Cyrl-BA"/>
        </w:rPr>
        <w:t>a.d. Pale</w:t>
      </w:r>
      <w:r w:rsidRPr="0037433A">
        <w:rPr>
          <w:rFonts w:asciiTheme="minorHAnsi" w:hAnsiTheme="minorHAnsi"/>
          <w:sz w:val="22"/>
          <w:szCs w:val="22"/>
          <w:lang w:val="sr-Cyrl-BA"/>
        </w:rPr>
        <w:t>.</w:t>
      </w:r>
    </w:p>
    <w:p w:rsidR="005A1B74" w:rsidRPr="0037433A" w:rsidRDefault="005A1B74" w:rsidP="002D1E7C">
      <w:pPr>
        <w:jc w:val="both"/>
        <w:rPr>
          <w:lang w:val="sr-Cyrl-BA"/>
        </w:rPr>
      </w:pPr>
    </w:p>
    <w:p w:rsidR="005A1B74" w:rsidRPr="0037433A" w:rsidRDefault="005A1B74" w:rsidP="002D1E7C">
      <w:pPr>
        <w:pStyle w:val="Heading3"/>
        <w:numPr>
          <w:ilvl w:val="2"/>
          <w:numId w:val="32"/>
        </w:numPr>
        <w:spacing w:after="240"/>
        <w:rPr>
          <w:rFonts w:asciiTheme="minorHAnsi" w:hAnsiTheme="minorHAnsi"/>
          <w:sz w:val="24"/>
          <w:lang w:val="sr-Cyrl-BA"/>
        </w:rPr>
      </w:pPr>
      <w:bookmarkStart w:id="141" w:name="_Toc137469617"/>
      <w:bookmarkStart w:id="142" w:name="_Toc137471249"/>
      <w:bookmarkStart w:id="143" w:name="_Toc210301162"/>
      <w:bookmarkEnd w:id="141"/>
      <w:bookmarkEnd w:id="142"/>
      <w:r w:rsidRPr="0037433A">
        <w:rPr>
          <w:rFonts w:asciiTheme="minorHAnsi" w:hAnsiTheme="minorHAnsi"/>
          <w:sz w:val="24"/>
          <w:lang w:val="sr-Cyrl-BA"/>
        </w:rPr>
        <w:t>Sertifikacija operatora transportnog sistema</w:t>
      </w:r>
      <w:bookmarkEnd w:id="143"/>
      <w:r w:rsidRPr="0037433A">
        <w:rPr>
          <w:rFonts w:asciiTheme="minorHAnsi" w:hAnsiTheme="minorHAnsi"/>
          <w:sz w:val="24"/>
          <w:lang w:val="sr-Cyrl-BA"/>
        </w:rPr>
        <w:t xml:space="preserve"> </w:t>
      </w:r>
    </w:p>
    <w:p w:rsidR="005A1B74" w:rsidRPr="0037433A" w:rsidRDefault="005A1B74" w:rsidP="002D1E7C">
      <w:pPr>
        <w:spacing w:before="120" w:after="120"/>
        <w:jc w:val="both"/>
        <w:rPr>
          <w:rFonts w:asciiTheme="minorHAnsi" w:hAnsiTheme="minorHAnsi"/>
          <w:sz w:val="22"/>
          <w:szCs w:val="22"/>
          <w:lang w:val="sr-Cyrl-BA"/>
        </w:rPr>
      </w:pPr>
      <w:bookmarkStart w:id="144" w:name="_Toc105493265"/>
      <w:bookmarkStart w:id="145" w:name="_Toc105493266"/>
      <w:bookmarkStart w:id="146" w:name="_Toc105493268"/>
      <w:bookmarkStart w:id="147" w:name="_Toc105493270"/>
      <w:bookmarkStart w:id="148" w:name="_Toc105493271"/>
      <w:bookmarkEnd w:id="144"/>
      <w:bookmarkEnd w:id="145"/>
      <w:bookmarkEnd w:id="146"/>
      <w:bookmarkEnd w:id="147"/>
      <w:bookmarkEnd w:id="148"/>
      <w:r w:rsidRPr="0037433A">
        <w:rPr>
          <w:rFonts w:asciiTheme="minorHAnsi" w:hAnsiTheme="minorHAnsi"/>
          <w:sz w:val="22"/>
          <w:szCs w:val="22"/>
          <w:lang w:val="sr-Cyrl-BA"/>
        </w:rPr>
        <w:t xml:space="preserve">Odredbama Zakona o gasu propisana je obaveza sertifikacije operatora transportnog sistema prirodnog gasa od strane Regulatorne komisije, a što je uslov za pribavljanje dozvole za obavljanje djelatnosti transporta i upravljanja transportnim sistemom prirodnog gasa. Sertifikacija je postupak kojim se utvrđuje usklađenost operatora transportnog sistema sa uslovima u vezi sa njegovom nezavisnošću i razdvajanjem od vertikalno integrisanog subjekta, kao i sa drugim relevantnim zahtjevima iz zakona. </w:t>
      </w:r>
    </w:p>
    <w:p w:rsidR="005A1B74" w:rsidRPr="0037433A" w:rsidRDefault="005A1B74" w:rsidP="002D1E7C">
      <w:pPr>
        <w:spacing w:before="120" w:after="120"/>
        <w:jc w:val="both"/>
        <w:rPr>
          <w:rFonts w:asciiTheme="minorHAnsi" w:hAnsiTheme="minorHAnsi"/>
          <w:sz w:val="22"/>
          <w:szCs w:val="22"/>
          <w:lang w:val="sr-Cyrl-BA"/>
        </w:rPr>
      </w:pPr>
      <w:r w:rsidRPr="0037433A">
        <w:rPr>
          <w:rFonts w:asciiTheme="minorHAnsi" w:hAnsiTheme="minorHAnsi"/>
          <w:sz w:val="22"/>
          <w:szCs w:val="22"/>
          <w:lang w:val="sr-Cyrl-BA"/>
        </w:rPr>
        <w:t xml:space="preserve">Privredno društvo „Gas promet“ </w:t>
      </w:r>
      <w:r w:rsidRPr="0037433A">
        <w:rPr>
          <w:rFonts w:asciiTheme="minorHAnsi" w:hAnsiTheme="minorHAnsi" w:cs="Calibri"/>
          <w:sz w:val="22"/>
          <w:szCs w:val="22"/>
          <w:lang w:val="sr-Cyrl-BA"/>
        </w:rPr>
        <w:t>a.d. Pale</w:t>
      </w:r>
      <w:r w:rsidRPr="0037433A">
        <w:rPr>
          <w:rFonts w:asciiTheme="minorHAnsi" w:hAnsiTheme="minorHAnsi"/>
          <w:sz w:val="22"/>
          <w:szCs w:val="22"/>
          <w:lang w:val="sr-Cyrl-BA"/>
        </w:rPr>
        <w:t xml:space="preserve"> je, u prethodnom periodu, sertifikovano kao operator transportnog sistema prirodnog gasa prema modelu vlasničkog razdvajanja, za dionice gasovodnog sistema Šepak-Karakaj i Karakaj-Zvornik sa pripadajućim objektima, postrojenjima i opremom.</w:t>
      </w:r>
    </w:p>
    <w:p w:rsidR="005A1B74" w:rsidRPr="0037433A" w:rsidRDefault="005A1B74" w:rsidP="002D1E7C">
      <w:pPr>
        <w:spacing w:before="120" w:after="120"/>
        <w:jc w:val="both"/>
        <w:rPr>
          <w:rFonts w:asciiTheme="minorHAnsi" w:hAnsiTheme="minorHAnsi"/>
          <w:sz w:val="22"/>
          <w:szCs w:val="22"/>
          <w:lang w:val="sr-Cyrl-BA"/>
        </w:rPr>
      </w:pPr>
      <w:r w:rsidRPr="0037433A">
        <w:rPr>
          <w:rFonts w:asciiTheme="minorHAnsi" w:hAnsiTheme="minorHAnsi"/>
          <w:sz w:val="22"/>
          <w:szCs w:val="22"/>
          <w:lang w:val="sr-Cyrl-BA"/>
        </w:rPr>
        <w:t>Sertifikacija operatora transportnog sistema nije izvršena za dio transportnog sistema prirodnog gasa Karakaj-Kladanj, koji je u vlasništvu privrednog društva „Sarajevo gas“ a.d. Istočno Sarajevo. Tokom 2024. godine privredno društvo „Sarajevo gas“ a.d. Istočno Sarajevo nije izvršilo razdvajanja djelatnosti transporta i upravljanje transportnim sistemom za prirodni gas od ostalih djelatnosti koje obavlja niti je podnosilo zahtjev za certifikaciju operatora transportnog sistema. Inače, prema zakonu, rok za usklađivanje obavljanja djelatnosti je mart 2023. godine.</w:t>
      </w:r>
    </w:p>
    <w:p w:rsidR="005A1B74" w:rsidRPr="0037433A" w:rsidRDefault="005A1B74" w:rsidP="002D1E7C">
      <w:pPr>
        <w:jc w:val="both"/>
        <w:rPr>
          <w:rFonts w:ascii="Calibri" w:hAnsi="Calibri"/>
          <w:sz w:val="22"/>
          <w:szCs w:val="22"/>
          <w:lang w:val="sr-Cyrl-BA"/>
        </w:rPr>
      </w:pPr>
      <w:r w:rsidRPr="0037433A">
        <w:rPr>
          <w:rFonts w:asciiTheme="minorHAnsi" w:hAnsiTheme="minorHAnsi"/>
          <w:sz w:val="22"/>
          <w:szCs w:val="22"/>
          <w:lang w:val="sr-Cyrl-BA"/>
        </w:rPr>
        <w:t xml:space="preserve">Vlada Republike Srpske je 16.03.2023. godine donijela „Odluku o davanju ovlašćenja privrednom društvu „Gas promet“ </w:t>
      </w:r>
      <w:r w:rsidRPr="0037433A">
        <w:rPr>
          <w:rFonts w:asciiTheme="minorHAnsi" w:hAnsiTheme="minorHAnsi" w:cs="Calibri"/>
          <w:sz w:val="22"/>
          <w:szCs w:val="22"/>
          <w:lang w:val="sr-Cyrl-BA"/>
        </w:rPr>
        <w:t>a.d. Pale za obavljanje djelatnosti na dionici gasovoda Karakaj – Kladanj (Starić)</w:t>
      </w:r>
      <w:r w:rsidRPr="0037433A">
        <w:rPr>
          <w:rFonts w:asciiTheme="minorHAnsi" w:hAnsiTheme="minorHAnsi"/>
          <w:sz w:val="22"/>
          <w:szCs w:val="22"/>
          <w:lang w:val="sr-Cyrl-BA"/>
        </w:rPr>
        <w:t>“</w:t>
      </w:r>
      <w:r w:rsidRPr="0037433A">
        <w:rPr>
          <w:rFonts w:asciiTheme="minorHAnsi" w:hAnsiTheme="minorHAnsi" w:cs="Calibri"/>
          <w:sz w:val="22"/>
          <w:szCs w:val="22"/>
          <w:lang w:val="sr-Cyrl-BA"/>
        </w:rPr>
        <w:t xml:space="preserve">, kojom se ovo društvo ovlašćuje da, kao certifikovani operator transportnog sistema i korisnik dozvole za obavljanje djelatnosti transporta i upravljanja transportnim sistemom prirodnog gasa, obavlja djelatnost transporta i upravljanja transportnim sistemom prirodnog gasa na dionici gasovoda Karakaj – Kladanj (Starić), koja je u vlasništvu </w:t>
      </w:r>
      <w:r w:rsidRPr="0037433A">
        <w:rPr>
          <w:rFonts w:asciiTheme="minorHAnsi" w:hAnsiTheme="minorHAnsi"/>
          <w:sz w:val="22"/>
          <w:szCs w:val="22"/>
          <w:lang w:val="sr-Cyrl-BA"/>
        </w:rPr>
        <w:t>„Sarajevo gas“ a.d. Istočno Sarajevo</w:t>
      </w:r>
      <w:r w:rsidRPr="0037433A">
        <w:rPr>
          <w:rFonts w:asciiTheme="minorHAnsi" w:hAnsiTheme="minorHAnsi" w:cs="Calibri"/>
          <w:sz w:val="22"/>
          <w:szCs w:val="22"/>
          <w:lang w:val="sr-Cyrl-BA"/>
        </w:rPr>
        <w:t xml:space="preserve">. Prema odluci, </w:t>
      </w:r>
      <w:r w:rsidRPr="0037433A">
        <w:rPr>
          <w:rFonts w:asciiTheme="minorHAnsi" w:hAnsiTheme="minorHAnsi"/>
          <w:sz w:val="22"/>
          <w:szCs w:val="22"/>
          <w:lang w:val="sr-Cyrl-BA"/>
        </w:rPr>
        <w:t xml:space="preserve">„Gas promet“ </w:t>
      </w:r>
      <w:r w:rsidRPr="0037433A">
        <w:rPr>
          <w:rFonts w:asciiTheme="minorHAnsi" w:hAnsiTheme="minorHAnsi" w:cs="Calibri"/>
          <w:sz w:val="22"/>
          <w:szCs w:val="22"/>
          <w:lang w:val="sr-Cyrl-BA"/>
        </w:rPr>
        <w:t xml:space="preserve">a.d. Pale će ove poslove obavljati u periodu od dvije godine, u kome je </w:t>
      </w:r>
      <w:r w:rsidRPr="0037433A">
        <w:rPr>
          <w:rFonts w:asciiTheme="minorHAnsi" w:hAnsiTheme="minorHAnsi"/>
          <w:sz w:val="22"/>
          <w:szCs w:val="22"/>
          <w:lang w:val="sr-Cyrl-BA"/>
        </w:rPr>
        <w:t xml:space="preserve">„Sarajevo gas“ a.d. Istočno Sarajevo dužno uskladiti svoje poslovanje i izvršiti certifikaciju u skladu sa Zakonom o gasu. Odluka je objavljena u </w:t>
      </w:r>
      <w:r w:rsidRPr="0037433A">
        <w:rPr>
          <w:rFonts w:ascii="Calibri" w:hAnsi="Calibri"/>
          <w:sz w:val="22"/>
          <w:szCs w:val="22"/>
          <w:lang w:val="sr-Cyrl-BA"/>
        </w:rPr>
        <w:t xml:space="preserve">Službenom glasniku Republike Srpske, broj 30/23. </w:t>
      </w:r>
    </w:p>
    <w:p w:rsidR="005A1B74" w:rsidRPr="0037433A" w:rsidRDefault="005A1B74" w:rsidP="002D1E7C">
      <w:pPr>
        <w:pStyle w:val="Heading3"/>
        <w:numPr>
          <w:ilvl w:val="2"/>
          <w:numId w:val="32"/>
        </w:numPr>
        <w:spacing w:after="240"/>
        <w:rPr>
          <w:rFonts w:asciiTheme="minorHAnsi" w:hAnsiTheme="minorHAnsi"/>
          <w:sz w:val="24"/>
          <w:lang w:val="sr-Cyrl-BA"/>
        </w:rPr>
      </w:pPr>
      <w:bookmarkStart w:id="149" w:name="_Toc210301163"/>
      <w:r w:rsidRPr="0037433A">
        <w:rPr>
          <w:rFonts w:asciiTheme="minorHAnsi" w:hAnsiTheme="minorHAnsi"/>
          <w:sz w:val="24"/>
          <w:lang w:val="sr-Cyrl-BA"/>
        </w:rPr>
        <w:t>Izdavanje dozvola</w:t>
      </w:r>
      <w:bookmarkEnd w:id="149"/>
    </w:p>
    <w:p w:rsidR="005A1B74" w:rsidRPr="0037433A" w:rsidRDefault="005A1B74" w:rsidP="002D1E7C">
      <w:pPr>
        <w:spacing w:before="120" w:after="120"/>
        <w:jc w:val="both"/>
        <w:rPr>
          <w:rFonts w:asciiTheme="minorHAnsi" w:hAnsiTheme="minorHAnsi"/>
          <w:sz w:val="22"/>
          <w:szCs w:val="22"/>
          <w:lang w:val="sr-Cyrl-BA"/>
        </w:rPr>
      </w:pPr>
      <w:r w:rsidRPr="0037433A">
        <w:rPr>
          <w:rFonts w:asciiTheme="minorHAnsi" w:hAnsiTheme="minorHAnsi" w:cs="Calibri"/>
          <w:sz w:val="22"/>
          <w:szCs w:val="22"/>
          <w:lang w:val="sr-Cyrl-BA"/>
        </w:rPr>
        <w:t xml:space="preserve">Tokom 2024. godine, izdato je sedam dozvola za obavljanje djelatnosti u sektoru prirodnog gasa.   Nova dozvola za obavljanje djelatnosti trgovine i snabdijevanja prirodnim gasom izdata je privrednom  društvu </w:t>
      </w:r>
      <w:r w:rsidRPr="0037433A">
        <w:rPr>
          <w:rFonts w:asciiTheme="minorHAnsi" w:hAnsiTheme="minorHAnsi"/>
          <w:sz w:val="22"/>
          <w:szCs w:val="22"/>
          <w:lang w:val="sr-Cyrl-BA"/>
        </w:rPr>
        <w:t>„</w:t>
      </w:r>
      <w:r w:rsidRPr="0037433A">
        <w:rPr>
          <w:rFonts w:asciiTheme="minorHAnsi" w:hAnsiTheme="minorHAnsi"/>
          <w:sz w:val="22"/>
          <w:szCs w:val="22"/>
          <w:lang w:val="sr-Latn-BA"/>
        </w:rPr>
        <w:t>MET ENERGY</w:t>
      </w:r>
      <w:r w:rsidRPr="0037433A">
        <w:rPr>
          <w:rFonts w:asciiTheme="minorHAnsi" w:hAnsiTheme="minorHAnsi"/>
          <w:sz w:val="22"/>
          <w:szCs w:val="22"/>
          <w:lang w:val="sr-Cyrl-BA"/>
        </w:rPr>
        <w:t xml:space="preserve"> </w:t>
      </w:r>
      <w:r w:rsidRPr="0037433A">
        <w:rPr>
          <w:rFonts w:asciiTheme="minorHAnsi" w:hAnsiTheme="minorHAnsi"/>
          <w:sz w:val="22"/>
          <w:szCs w:val="22"/>
          <w:lang w:val="sr-Latn-BA"/>
        </w:rPr>
        <w:t xml:space="preserve">BH“ </w:t>
      </w:r>
      <w:r w:rsidRPr="0037433A">
        <w:rPr>
          <w:rFonts w:asciiTheme="minorHAnsi" w:hAnsiTheme="minorHAnsi"/>
          <w:sz w:val="22"/>
          <w:szCs w:val="22"/>
          <w:lang w:val="sr-Cyrl-BA"/>
        </w:rPr>
        <w:t xml:space="preserve">d.o.o. Banja Luka. Produžene su dozvole za obavljanje djelatnosti upravljanja postrojenjem za komprimovanje prirodnog gasa </w:t>
      </w:r>
      <w:r w:rsidRPr="0037433A">
        <w:rPr>
          <w:rFonts w:asciiTheme="minorHAnsi" w:hAnsiTheme="minorHAnsi" w:cs="Calibri"/>
          <w:sz w:val="22"/>
          <w:szCs w:val="22"/>
          <w:lang w:val="sr-Cyrl-BA"/>
        </w:rPr>
        <w:t xml:space="preserve">privrednim društvima Akcionarsko društvo „Rafinerija nafte Brod“  i </w:t>
      </w:r>
      <w:r w:rsidRPr="0037433A">
        <w:rPr>
          <w:rFonts w:asciiTheme="minorHAnsi" w:hAnsiTheme="minorHAnsi"/>
          <w:sz w:val="22"/>
          <w:szCs w:val="22"/>
          <w:lang w:val="sr-Cyrl-BA"/>
        </w:rPr>
        <w:t xml:space="preserve">„Prvo gasno društvo“ d.o.o. Zvornik, dozvola za obavljanje djelatnosti distribucije i upravljanja distributivnim sistemom prirodnog gasa   privrednom društvu „Sarajevo gas” a.d. Istočno Sarajevo i </w:t>
      </w:r>
      <w:r w:rsidRPr="0037433A">
        <w:rPr>
          <w:rFonts w:asciiTheme="minorHAnsi" w:hAnsiTheme="minorHAnsi" w:cs="Calibri"/>
          <w:sz w:val="22"/>
          <w:szCs w:val="22"/>
          <w:lang w:val="sr-Cyrl-BA"/>
        </w:rPr>
        <w:t xml:space="preserve">dozvole za obavljanje djelatnosti trgovine i snabdijevanja prirodnim gasom </w:t>
      </w:r>
      <w:r w:rsidRPr="0037433A">
        <w:rPr>
          <w:rFonts w:asciiTheme="minorHAnsi" w:hAnsiTheme="minorHAnsi"/>
          <w:sz w:val="22"/>
          <w:szCs w:val="22"/>
          <w:lang w:val="sr-Cyrl-BA"/>
        </w:rPr>
        <w:t xml:space="preserve">„GAS RES“ d.o.o. Banja Luka, „Sarajevo gas” a.d. Istočno Sarajevo i A.D „Zvornik – stan” Zvornik. </w:t>
      </w:r>
    </w:p>
    <w:p w:rsidR="005A1B74" w:rsidRPr="0037433A" w:rsidRDefault="005A1B74" w:rsidP="002D1E7C">
      <w:pPr>
        <w:spacing w:before="120" w:after="120"/>
        <w:jc w:val="both"/>
        <w:rPr>
          <w:rFonts w:asciiTheme="minorHAnsi" w:hAnsiTheme="minorHAnsi"/>
          <w:sz w:val="22"/>
          <w:szCs w:val="22"/>
          <w:lang w:val="sr-Cyrl-BA"/>
        </w:rPr>
      </w:pPr>
      <w:r w:rsidRPr="0037433A">
        <w:rPr>
          <w:rFonts w:asciiTheme="minorHAnsi" w:hAnsiTheme="minorHAnsi"/>
          <w:sz w:val="22"/>
          <w:szCs w:val="22"/>
          <w:lang w:val="sr-Cyrl-BA"/>
        </w:rPr>
        <w:t xml:space="preserve">Zaključno sa 31.12.2024. godine, u sektoru prirodnog gasa, je bilo ukupno petnaest važećih dozvola za obavljanje djelatnosti, od čega jedna dozvola za transport i upravljanje transportnim sistemom prirodnog gasa („Gas promet“ </w:t>
      </w:r>
      <w:r w:rsidRPr="0037433A">
        <w:rPr>
          <w:rFonts w:asciiTheme="minorHAnsi" w:hAnsiTheme="minorHAnsi" w:cs="Calibri"/>
          <w:sz w:val="22"/>
          <w:szCs w:val="22"/>
          <w:lang w:val="sr-Cyrl-BA"/>
        </w:rPr>
        <w:t>a.d. Pale)</w:t>
      </w:r>
      <w:r w:rsidRPr="0037433A">
        <w:rPr>
          <w:rFonts w:asciiTheme="minorHAnsi" w:hAnsiTheme="minorHAnsi"/>
          <w:sz w:val="22"/>
          <w:szCs w:val="22"/>
          <w:lang w:val="sr-Cyrl-BA"/>
        </w:rPr>
        <w:t>, dvije dozvole za distribuciju i upravljanje sistemom za distribuciju prirodnog gasa („Sarajevo gas” a.d. Istočno Sarajevo i A.D „Zvornik – stan” Zvornik), deset dozvola za trgovinu i snabdijevanje prirodnim gasom („GAS RES“ d.o.o. Banja Luka, „Sarajevo gas” a.d. Istočno Sarajevo, A.D „Zvornik – stan” Zvornik, „CNG ENERGY“ d.o.o. Banja Luka, „Prvo gasno društvo“ d.o.o. Zvornik, Akcionarsko društvo „Rafinerija nafte Brod“, „OPTIMA GRUPA“ d.o.o. Banja Luka, „Bijeljina gas“ d.o.o. Bijeljina, „Alumina“ d.o.o. Zvornik i„</w:t>
      </w:r>
      <w:r w:rsidRPr="0037433A">
        <w:rPr>
          <w:rFonts w:asciiTheme="minorHAnsi" w:hAnsiTheme="minorHAnsi"/>
          <w:sz w:val="22"/>
          <w:szCs w:val="22"/>
          <w:lang w:val="sr-Latn-BA"/>
        </w:rPr>
        <w:t>MET ENERGY</w:t>
      </w:r>
      <w:r w:rsidRPr="0037433A">
        <w:rPr>
          <w:rFonts w:asciiTheme="minorHAnsi" w:hAnsiTheme="minorHAnsi"/>
          <w:sz w:val="22"/>
          <w:szCs w:val="22"/>
          <w:lang w:val="sr-Cyrl-BA"/>
        </w:rPr>
        <w:t xml:space="preserve"> </w:t>
      </w:r>
      <w:r w:rsidRPr="0037433A">
        <w:rPr>
          <w:rFonts w:asciiTheme="minorHAnsi" w:hAnsiTheme="minorHAnsi"/>
          <w:sz w:val="22"/>
          <w:szCs w:val="22"/>
          <w:lang w:val="sr-Latn-BA"/>
        </w:rPr>
        <w:t xml:space="preserve">BH“ </w:t>
      </w:r>
      <w:r w:rsidRPr="0037433A">
        <w:rPr>
          <w:rFonts w:asciiTheme="minorHAnsi" w:hAnsiTheme="minorHAnsi"/>
          <w:sz w:val="22"/>
          <w:szCs w:val="22"/>
          <w:lang w:val="sr-Cyrl-BA"/>
        </w:rPr>
        <w:t xml:space="preserve">d.o.o. Banja Luka) i </w:t>
      </w:r>
      <w:r w:rsidRPr="0037433A">
        <w:rPr>
          <w:rFonts w:asciiTheme="minorHAnsi" w:hAnsiTheme="minorHAnsi"/>
          <w:sz w:val="22"/>
          <w:szCs w:val="22"/>
          <w:lang w:val="sr-Cyrl-BA"/>
        </w:rPr>
        <w:lastRenderedPageBreak/>
        <w:t>dvije dozvole za obavljanje djelatnosti upravljanja postrojenjem za komprimovani prirodni gas (Akcionarsko društvo „Rafinerija nafte Brod“ i „Prvo gasno društvo“ d.o.o. Zvornik).</w:t>
      </w:r>
    </w:p>
    <w:p w:rsidR="005A1B74" w:rsidRPr="0037433A" w:rsidRDefault="005A1B74" w:rsidP="002D1E7C">
      <w:pPr>
        <w:pStyle w:val="Heading3"/>
        <w:numPr>
          <w:ilvl w:val="2"/>
          <w:numId w:val="32"/>
        </w:numPr>
        <w:spacing w:after="240"/>
        <w:rPr>
          <w:rFonts w:asciiTheme="minorHAnsi" w:hAnsiTheme="minorHAnsi"/>
          <w:sz w:val="24"/>
          <w:lang w:val="sr-Cyrl-BA"/>
        </w:rPr>
      </w:pPr>
      <w:bookmarkStart w:id="150" w:name="_Toc137469620"/>
      <w:bookmarkStart w:id="151" w:name="_Toc137471252"/>
      <w:bookmarkStart w:id="152" w:name="_Toc137469621"/>
      <w:bookmarkStart w:id="153" w:name="_Toc137471253"/>
      <w:bookmarkStart w:id="154" w:name="_Toc137469622"/>
      <w:bookmarkStart w:id="155" w:name="_Toc137471254"/>
      <w:bookmarkStart w:id="156" w:name="_Toc105493275"/>
      <w:bookmarkStart w:id="157" w:name="_Toc105493277"/>
      <w:bookmarkStart w:id="158" w:name="_Toc210301164"/>
      <w:bookmarkEnd w:id="150"/>
      <w:bookmarkEnd w:id="151"/>
      <w:bookmarkEnd w:id="152"/>
      <w:bookmarkEnd w:id="153"/>
      <w:bookmarkEnd w:id="154"/>
      <w:bookmarkEnd w:id="155"/>
      <w:bookmarkEnd w:id="156"/>
      <w:bookmarkEnd w:id="157"/>
      <w:r w:rsidRPr="0037433A">
        <w:rPr>
          <w:rFonts w:asciiTheme="minorHAnsi" w:hAnsiTheme="minorHAnsi"/>
          <w:sz w:val="24"/>
          <w:lang w:val="sr-Cyrl-BA"/>
        </w:rPr>
        <w:t>Nadgledanje poslovnih aktivnosti korisnika dozvola</w:t>
      </w:r>
      <w:bookmarkEnd w:id="158"/>
    </w:p>
    <w:p w:rsidR="005A1B74" w:rsidRPr="0037433A" w:rsidRDefault="005A1B74" w:rsidP="002D1E7C">
      <w:pPr>
        <w:numPr>
          <w:ilvl w:val="0"/>
          <w:numId w:val="26"/>
        </w:numPr>
        <w:spacing w:before="240" w:after="120"/>
        <w:ind w:left="1077" w:hanging="357"/>
        <w:jc w:val="both"/>
        <w:rPr>
          <w:rFonts w:asciiTheme="minorHAnsi" w:hAnsiTheme="minorHAnsi" w:cs="Calibri"/>
          <w:i/>
          <w:sz w:val="22"/>
          <w:szCs w:val="22"/>
          <w:lang w:val="sr-Cyrl-BA"/>
        </w:rPr>
      </w:pPr>
      <w:r w:rsidRPr="0037433A">
        <w:rPr>
          <w:rFonts w:asciiTheme="minorHAnsi" w:hAnsiTheme="minorHAnsi" w:cs="Calibri"/>
          <w:i/>
          <w:sz w:val="22"/>
          <w:szCs w:val="22"/>
          <w:lang w:val="sr-Cyrl-BA"/>
        </w:rPr>
        <w:t xml:space="preserve"> </w:t>
      </w:r>
      <w:r w:rsidRPr="0037433A">
        <w:rPr>
          <w:rFonts w:asciiTheme="minorHAnsi" w:hAnsiTheme="minorHAnsi" w:cs="Calibri"/>
          <w:b/>
          <w:i/>
          <w:sz w:val="22"/>
          <w:szCs w:val="22"/>
          <w:lang w:val="sr-Cyrl-BA"/>
        </w:rPr>
        <w:t>Nadzorne provjere</w:t>
      </w:r>
    </w:p>
    <w:p w:rsidR="005A1B74" w:rsidRPr="0037433A" w:rsidRDefault="005A1B74" w:rsidP="002D1E7C">
      <w:pPr>
        <w:spacing w:after="120"/>
        <w:jc w:val="both"/>
        <w:rPr>
          <w:rFonts w:asciiTheme="minorHAnsi" w:hAnsiTheme="minorHAnsi" w:cs="Calibri"/>
          <w:bCs/>
          <w:iCs/>
          <w:sz w:val="22"/>
          <w:szCs w:val="22"/>
          <w:lang w:val="sr-Cyrl-BA"/>
        </w:rPr>
      </w:pPr>
      <w:r w:rsidRPr="0037433A">
        <w:rPr>
          <w:rFonts w:asciiTheme="minorHAnsi" w:hAnsiTheme="minorHAnsi" w:cs="Calibri"/>
          <w:sz w:val="22"/>
          <w:szCs w:val="22"/>
          <w:lang w:val="sr-Cyrl-BA"/>
        </w:rPr>
        <w:t>Nadzorne provjere u sektoru prirodnog gasa se obavljaju u</w:t>
      </w:r>
      <w:r w:rsidRPr="0037433A">
        <w:rPr>
          <w:rFonts w:asciiTheme="minorHAnsi" w:hAnsiTheme="minorHAnsi" w:cs="Calibri"/>
          <w:bCs/>
          <w:iCs/>
          <w:sz w:val="22"/>
          <w:szCs w:val="22"/>
          <w:lang w:val="sr-Cyrl-BA"/>
        </w:rPr>
        <w:t xml:space="preserve"> cilju praćenja usaglašenosti rada korisnika dozvola sa uslovima izdatih dozvola te utvrđivanja nivoa provedenih mjera shodno rješenjima sa nadzornih provjera provedenih u prethodnom periodu. </w:t>
      </w:r>
    </w:p>
    <w:p w:rsidR="005A1B74" w:rsidRPr="0037433A" w:rsidRDefault="005A1B74" w:rsidP="002D1E7C">
      <w:pPr>
        <w:spacing w:after="120"/>
        <w:jc w:val="both"/>
        <w:rPr>
          <w:rFonts w:asciiTheme="minorHAnsi" w:hAnsiTheme="minorHAnsi" w:cs="Calibri"/>
          <w:sz w:val="22"/>
          <w:szCs w:val="22"/>
          <w:lang w:val="sr-Cyrl-BA"/>
        </w:rPr>
      </w:pPr>
      <w:r w:rsidRPr="0037433A">
        <w:rPr>
          <w:rFonts w:asciiTheme="minorHAnsi" w:hAnsiTheme="minorHAnsi" w:cs="Calibri"/>
          <w:sz w:val="22"/>
          <w:szCs w:val="22"/>
          <w:lang w:val="sr-Cyrl-BA"/>
        </w:rPr>
        <w:t>Nakon nadzorne provjere, sačinjava se izvještaj sa nadzorne provjere koji se dostavlja na komentarisanje korisniku dozvole. Izvještaj sa nadzorne provjere sadrži utvrđeno stanje u pogledu poštovanja uslova dozvole, kao i eventualno utvrđene nepravilnosti korišćenja dozvole.</w:t>
      </w:r>
    </w:p>
    <w:p w:rsidR="005A1B74" w:rsidRPr="0037433A" w:rsidRDefault="005A1B74" w:rsidP="002D1E7C">
      <w:pPr>
        <w:spacing w:after="120"/>
        <w:jc w:val="both"/>
        <w:rPr>
          <w:rFonts w:asciiTheme="minorHAnsi" w:hAnsiTheme="minorHAnsi" w:cs="Calibri"/>
          <w:bCs/>
          <w:iCs/>
          <w:sz w:val="22"/>
          <w:szCs w:val="22"/>
          <w:lang w:val="sr-Cyrl-BA"/>
        </w:rPr>
      </w:pPr>
      <w:r w:rsidRPr="0037433A">
        <w:rPr>
          <w:rFonts w:asciiTheme="minorHAnsi" w:hAnsiTheme="minorHAnsi"/>
          <w:sz w:val="22"/>
          <w:szCs w:val="22"/>
          <w:lang w:val="sr-Cyrl-BA"/>
        </w:rPr>
        <w:t>Regulatorna komisija u 2024. godini nije obavljala nadzorne provjere kod korisnika dozvola za obavljanje djelatnosti u sektoru prirodnog gasa.</w:t>
      </w:r>
    </w:p>
    <w:p w:rsidR="005A1B74" w:rsidRPr="0037433A" w:rsidRDefault="005A1B74" w:rsidP="002D1E7C">
      <w:pPr>
        <w:numPr>
          <w:ilvl w:val="0"/>
          <w:numId w:val="26"/>
        </w:numPr>
        <w:spacing w:before="240" w:after="120"/>
        <w:ind w:left="1077" w:hanging="357"/>
        <w:jc w:val="both"/>
        <w:rPr>
          <w:rFonts w:asciiTheme="minorHAnsi" w:hAnsiTheme="minorHAnsi" w:cs="Calibri"/>
          <w:i/>
          <w:sz w:val="22"/>
          <w:szCs w:val="22"/>
          <w:lang w:val="sr-Cyrl-BA"/>
        </w:rPr>
      </w:pPr>
      <w:r w:rsidRPr="0037433A">
        <w:rPr>
          <w:rFonts w:asciiTheme="minorHAnsi" w:hAnsiTheme="minorHAnsi" w:cs="Calibri"/>
          <w:b/>
          <w:i/>
          <w:sz w:val="22"/>
          <w:szCs w:val="22"/>
          <w:lang w:val="sr-Cyrl-BA"/>
        </w:rPr>
        <w:t>Izvještavanje</w:t>
      </w:r>
    </w:p>
    <w:p w:rsidR="005A1B74" w:rsidRPr="0037433A" w:rsidRDefault="005A1B74" w:rsidP="002D1E7C">
      <w:pPr>
        <w:spacing w:after="120"/>
        <w:jc w:val="both"/>
        <w:rPr>
          <w:rFonts w:asciiTheme="minorHAnsi" w:hAnsiTheme="minorHAnsi" w:cs="Calibri"/>
          <w:sz w:val="22"/>
          <w:szCs w:val="22"/>
          <w:lang w:val="sr-Cyrl-BA"/>
        </w:rPr>
      </w:pPr>
      <w:r w:rsidRPr="0037433A">
        <w:rPr>
          <w:rFonts w:asciiTheme="minorHAnsi" w:hAnsiTheme="minorHAnsi" w:cs="Calibri"/>
          <w:sz w:val="22"/>
          <w:szCs w:val="22"/>
          <w:lang w:val="sr-Cyrl-BA"/>
        </w:rPr>
        <w:t xml:space="preserve">Pravilnikom o izvještavanju preciziran je sadržaj, način i rokovi dostavljanja izvještaja koje su korisnici dozvola iz sektora prirodnog gasa dužni dostavljati Regulatornoj komisiji. </w:t>
      </w:r>
    </w:p>
    <w:p w:rsidR="005A1B74" w:rsidRPr="0037433A" w:rsidRDefault="005A1B74" w:rsidP="002D1E7C">
      <w:pPr>
        <w:spacing w:after="120"/>
        <w:jc w:val="both"/>
        <w:rPr>
          <w:rFonts w:asciiTheme="minorHAnsi" w:hAnsiTheme="minorHAnsi" w:cs="Calibri"/>
          <w:sz w:val="22"/>
          <w:szCs w:val="22"/>
          <w:lang w:val="sr-Cyrl-BA"/>
        </w:rPr>
      </w:pPr>
      <w:r w:rsidRPr="0037433A">
        <w:rPr>
          <w:rFonts w:asciiTheme="minorHAnsi" w:hAnsiTheme="minorHAnsi" w:cs="Calibri"/>
          <w:sz w:val="22"/>
          <w:szCs w:val="22"/>
          <w:lang w:val="sr-Cyrl-BA"/>
        </w:rPr>
        <w:t xml:space="preserve">Korisnici dozvola iz sektora prirodnog gasa dužni su da, između ostalog, dostavljaju izvještaje na propisanim obrascima i oni obuhvataju finansijske, tehničke i organizacione podatke, podatke o kvalitetu pruženih usluga itd. Analiza dostavljenih izvještaja je jedan od elemenata na osnovu kojih se, pored uslova izdatih dozvola, definiše program nadzornih provjera pojedinačno za svaku od djelatnosti korisnika dozvola. </w:t>
      </w:r>
    </w:p>
    <w:p w:rsidR="005A1B74" w:rsidRPr="0037433A" w:rsidRDefault="005A1B74" w:rsidP="002D1E7C">
      <w:pPr>
        <w:spacing w:after="120"/>
        <w:jc w:val="both"/>
        <w:rPr>
          <w:rFonts w:asciiTheme="minorHAnsi" w:hAnsiTheme="minorHAnsi"/>
          <w:lang w:val="sr-Cyrl-BA"/>
        </w:rPr>
      </w:pPr>
      <w:r w:rsidRPr="0037433A">
        <w:rPr>
          <w:rFonts w:asciiTheme="minorHAnsi" w:hAnsiTheme="minorHAnsi" w:cs="Calibri"/>
          <w:sz w:val="22"/>
          <w:szCs w:val="22"/>
          <w:lang w:val="sr-Cyrl-BA"/>
        </w:rPr>
        <w:t>Većina korisnika dozvola u sektoru prirodnog gasa je u 2024. godini redovno izvještavala Regulatornu komisiju, u skladu sa Pravilnikom o izvještavanju.</w:t>
      </w:r>
      <w:r w:rsidRPr="0037433A">
        <w:rPr>
          <w:rFonts w:asciiTheme="minorHAnsi" w:hAnsiTheme="minorHAnsi"/>
          <w:lang w:val="sr-Cyrl-BA"/>
        </w:rPr>
        <w:t xml:space="preserve"> </w:t>
      </w:r>
    </w:p>
    <w:p w:rsidR="005A1B74" w:rsidRPr="0037433A" w:rsidRDefault="005A1B74" w:rsidP="002D1E7C">
      <w:pPr>
        <w:pStyle w:val="Heading3"/>
        <w:numPr>
          <w:ilvl w:val="2"/>
          <w:numId w:val="32"/>
        </w:numPr>
        <w:spacing w:after="240"/>
        <w:rPr>
          <w:rFonts w:asciiTheme="minorHAnsi" w:hAnsiTheme="minorHAnsi"/>
          <w:sz w:val="24"/>
          <w:lang w:val="sr-Cyrl-BA"/>
        </w:rPr>
      </w:pPr>
      <w:bookmarkStart w:id="159" w:name="_Toc293411086"/>
      <w:bookmarkStart w:id="160" w:name="_Toc293414774"/>
      <w:bookmarkStart w:id="161" w:name="_Toc293563724"/>
      <w:bookmarkStart w:id="162" w:name="_Toc358640045"/>
      <w:bookmarkStart w:id="163" w:name="_Toc358640263"/>
      <w:bookmarkStart w:id="164" w:name="_Toc358640481"/>
      <w:bookmarkStart w:id="165" w:name="_Toc358640905"/>
      <w:bookmarkStart w:id="166" w:name="_Toc210301165"/>
      <w:r w:rsidRPr="0037433A">
        <w:rPr>
          <w:rFonts w:asciiTheme="minorHAnsi" w:hAnsiTheme="minorHAnsi"/>
          <w:sz w:val="24"/>
          <w:lang w:val="sr-Cyrl-BA"/>
        </w:rPr>
        <w:t>Regulacija cijena i otvaranje tržišta prirodnog gasa</w:t>
      </w:r>
      <w:bookmarkEnd w:id="159"/>
      <w:bookmarkEnd w:id="160"/>
      <w:bookmarkEnd w:id="161"/>
      <w:bookmarkEnd w:id="162"/>
      <w:bookmarkEnd w:id="163"/>
      <w:bookmarkEnd w:id="164"/>
      <w:bookmarkEnd w:id="165"/>
      <w:bookmarkEnd w:id="166"/>
    </w:p>
    <w:p w:rsidR="005A1B74" w:rsidRPr="0037433A" w:rsidRDefault="005A1B74" w:rsidP="002D1E7C">
      <w:pPr>
        <w:numPr>
          <w:ilvl w:val="0"/>
          <w:numId w:val="26"/>
        </w:numPr>
        <w:spacing w:before="240" w:after="120"/>
        <w:ind w:left="1077" w:hanging="357"/>
        <w:jc w:val="both"/>
        <w:rPr>
          <w:rFonts w:asciiTheme="minorHAnsi" w:hAnsiTheme="minorHAnsi" w:cs="Calibri"/>
          <w:b/>
          <w:i/>
          <w:sz w:val="22"/>
          <w:szCs w:val="22"/>
          <w:lang w:val="sr-Cyrl-BA"/>
        </w:rPr>
      </w:pPr>
      <w:r w:rsidRPr="0037433A">
        <w:rPr>
          <w:rFonts w:asciiTheme="minorHAnsi" w:hAnsiTheme="minorHAnsi" w:cs="Calibri"/>
          <w:b/>
          <w:bCs/>
          <w:i/>
          <w:sz w:val="22"/>
          <w:szCs w:val="22"/>
          <w:lang w:val="sr-Cyrl-BA"/>
        </w:rPr>
        <w:t xml:space="preserve"> </w:t>
      </w:r>
      <w:r w:rsidRPr="0037433A">
        <w:rPr>
          <w:rFonts w:asciiTheme="minorHAnsi" w:hAnsiTheme="minorHAnsi" w:cs="Calibri"/>
          <w:b/>
          <w:i/>
          <w:sz w:val="22"/>
          <w:szCs w:val="22"/>
          <w:lang w:val="sr-Cyrl-BA"/>
        </w:rPr>
        <w:t xml:space="preserve"> Tarifni postupci</w:t>
      </w:r>
    </w:p>
    <w:p w:rsidR="005A1B74" w:rsidRDefault="005A1B74" w:rsidP="002D1E7C">
      <w:pPr>
        <w:pStyle w:val="BodyText"/>
        <w:jc w:val="both"/>
        <w:rPr>
          <w:rFonts w:ascii="Calibri" w:hAnsi="Calibri" w:cs="Arial"/>
          <w:bCs/>
          <w:iCs/>
          <w:sz w:val="22"/>
          <w:szCs w:val="22"/>
          <w:lang w:val="sr-Cyrl-BA"/>
        </w:rPr>
      </w:pPr>
      <w:r>
        <w:rPr>
          <w:rFonts w:ascii="Calibri" w:hAnsi="Calibri" w:cs="Arial"/>
          <w:bCs/>
          <w:sz w:val="22"/>
          <w:szCs w:val="22"/>
          <w:lang w:val="sr-Cyrl-BA"/>
        </w:rPr>
        <w:t>U toku 2024. godine, proveden je tarifni postupak po zahtjevu</w:t>
      </w:r>
      <w:r w:rsidRPr="0009543E">
        <w:rPr>
          <w:rFonts w:ascii="Calibri" w:hAnsi="Calibri" w:cs="Arial"/>
          <w:bCs/>
          <w:iCs/>
          <w:sz w:val="22"/>
          <w:szCs w:val="22"/>
          <w:lang w:val="sr-Cyrl-BA"/>
        </w:rPr>
        <w:t xml:space="preserve"> privrednog društva „Sarajevo gas“ a.d. Istočno Sarajevo</w:t>
      </w:r>
      <w:r>
        <w:rPr>
          <w:rFonts w:ascii="Calibri" w:hAnsi="Calibri" w:cs="Arial"/>
          <w:bCs/>
          <w:sz w:val="22"/>
          <w:szCs w:val="22"/>
          <w:lang w:val="sr-Cyrl-BA"/>
        </w:rPr>
        <w:t xml:space="preserve"> </w:t>
      </w:r>
      <w:r w:rsidRPr="0009543E">
        <w:rPr>
          <w:rFonts w:ascii="Calibri" w:hAnsi="Calibri" w:cs="Arial"/>
          <w:bCs/>
          <w:iCs/>
          <w:sz w:val="22"/>
          <w:szCs w:val="22"/>
          <w:lang w:val="sr-Cyrl-BA"/>
        </w:rPr>
        <w:t>za odobrenje tarifa za pristup transportnom sistemu prirodnog gasa za zonu Zvorn</w:t>
      </w:r>
      <w:r>
        <w:rPr>
          <w:rFonts w:ascii="Calibri" w:hAnsi="Calibri" w:cs="Arial"/>
          <w:bCs/>
          <w:iCs/>
          <w:sz w:val="22"/>
          <w:szCs w:val="22"/>
          <w:lang w:val="sr-Cyrl-BA"/>
        </w:rPr>
        <w:t>ik1/Karakaj – Kladanj (Starić)</w:t>
      </w:r>
      <w:r w:rsidRPr="0009543E">
        <w:rPr>
          <w:rFonts w:ascii="Calibri" w:hAnsi="Calibri" w:cs="Arial"/>
          <w:bCs/>
          <w:iCs/>
          <w:sz w:val="22"/>
          <w:szCs w:val="22"/>
          <w:lang w:val="sr-Cyrl-BA"/>
        </w:rPr>
        <w:t>, broj 01-87-641/24 od 20.3.2024. godine</w:t>
      </w:r>
      <w:r>
        <w:rPr>
          <w:rFonts w:ascii="Calibri" w:hAnsi="Calibri" w:cs="Arial"/>
          <w:bCs/>
          <w:iCs/>
          <w:sz w:val="22"/>
          <w:szCs w:val="22"/>
          <w:lang w:val="sr-Latn-BA"/>
        </w:rPr>
        <w:t xml:space="preserve">. </w:t>
      </w:r>
      <w:r w:rsidRPr="0009543E">
        <w:rPr>
          <w:rFonts w:ascii="Calibri" w:hAnsi="Calibri" w:cs="Arial"/>
          <w:bCs/>
          <w:iCs/>
          <w:sz w:val="22"/>
          <w:szCs w:val="22"/>
          <w:lang w:val="sr-Cyrl-CS"/>
        </w:rPr>
        <w:t xml:space="preserve">Nakon što je utvrđena urednost zahtjeva, </w:t>
      </w:r>
      <w:r w:rsidRPr="0009543E">
        <w:rPr>
          <w:rFonts w:ascii="Calibri" w:hAnsi="Calibri" w:cs="Arial"/>
          <w:bCs/>
          <w:iCs/>
          <w:sz w:val="22"/>
          <w:szCs w:val="22"/>
          <w:lang w:val="sr-Cyrl-BA"/>
        </w:rPr>
        <w:t>n</w:t>
      </w:r>
      <w:r w:rsidRPr="0009543E">
        <w:rPr>
          <w:rFonts w:ascii="Calibri" w:hAnsi="Calibri" w:cs="Arial"/>
          <w:bCs/>
          <w:iCs/>
          <w:sz w:val="22"/>
          <w:szCs w:val="22"/>
          <w:lang w:val="sr-Latn-CS"/>
        </w:rPr>
        <w:t xml:space="preserve">a </w:t>
      </w:r>
      <w:r w:rsidRPr="0009543E">
        <w:rPr>
          <w:rFonts w:ascii="Calibri" w:hAnsi="Calibri" w:cs="Arial"/>
          <w:bCs/>
          <w:iCs/>
          <w:sz w:val="22"/>
          <w:szCs w:val="22"/>
          <w:lang w:val="sr-Cyrl-BA"/>
        </w:rPr>
        <w:t>92</w:t>
      </w:r>
      <w:r w:rsidRPr="0009543E">
        <w:rPr>
          <w:rFonts w:ascii="Calibri" w:hAnsi="Calibri" w:cs="Arial"/>
          <w:bCs/>
          <w:iCs/>
          <w:sz w:val="22"/>
          <w:szCs w:val="22"/>
          <w:lang w:val="sr-Latn-CS"/>
        </w:rPr>
        <w:t>. redovnoj sjednici</w:t>
      </w:r>
      <w:r w:rsidRPr="0009543E">
        <w:rPr>
          <w:rFonts w:ascii="Calibri" w:hAnsi="Calibri" w:cs="Arial"/>
          <w:bCs/>
          <w:iCs/>
          <w:sz w:val="22"/>
          <w:szCs w:val="22"/>
          <w:lang w:val="sr-Cyrl-ME"/>
        </w:rPr>
        <w:t>,</w:t>
      </w:r>
      <w:r w:rsidRPr="0009543E">
        <w:rPr>
          <w:rFonts w:ascii="Calibri" w:hAnsi="Calibri" w:cs="Arial"/>
          <w:bCs/>
          <w:iCs/>
          <w:sz w:val="22"/>
          <w:szCs w:val="22"/>
          <w:lang w:val="sr-Latn-CS"/>
        </w:rPr>
        <w:t xml:space="preserve"> održanoj 1</w:t>
      </w:r>
      <w:r w:rsidRPr="0009543E">
        <w:rPr>
          <w:rFonts w:ascii="Calibri" w:hAnsi="Calibri" w:cs="Arial"/>
          <w:bCs/>
          <w:iCs/>
          <w:sz w:val="22"/>
          <w:szCs w:val="22"/>
          <w:lang w:val="sr-Cyrl-BA"/>
        </w:rPr>
        <w:t>1</w:t>
      </w:r>
      <w:r w:rsidRPr="0009543E">
        <w:rPr>
          <w:rFonts w:ascii="Calibri" w:hAnsi="Calibri" w:cs="Arial"/>
          <w:bCs/>
          <w:iCs/>
          <w:sz w:val="22"/>
          <w:szCs w:val="22"/>
          <w:lang w:val="sr-Latn-CS"/>
        </w:rPr>
        <w:t>.</w:t>
      </w:r>
      <w:r w:rsidRPr="0009543E">
        <w:rPr>
          <w:rFonts w:ascii="Calibri" w:hAnsi="Calibri" w:cs="Arial"/>
          <w:bCs/>
          <w:iCs/>
          <w:sz w:val="22"/>
          <w:szCs w:val="22"/>
          <w:lang w:val="sr-Cyrl-BA"/>
        </w:rPr>
        <w:t xml:space="preserve"> aprila </w:t>
      </w:r>
      <w:r w:rsidRPr="0009543E">
        <w:rPr>
          <w:rFonts w:ascii="Calibri" w:hAnsi="Calibri" w:cs="Arial"/>
          <w:bCs/>
          <w:iCs/>
          <w:sz w:val="22"/>
          <w:szCs w:val="22"/>
          <w:lang w:val="sr-Latn-CS"/>
        </w:rPr>
        <w:t>202</w:t>
      </w:r>
      <w:r w:rsidRPr="0009543E">
        <w:rPr>
          <w:rFonts w:ascii="Calibri" w:hAnsi="Calibri" w:cs="Arial"/>
          <w:bCs/>
          <w:iCs/>
          <w:sz w:val="22"/>
          <w:szCs w:val="22"/>
          <w:lang w:val="sr-Cyrl-BA"/>
        </w:rPr>
        <w:t>4</w:t>
      </w:r>
      <w:r w:rsidRPr="0009543E">
        <w:rPr>
          <w:rFonts w:ascii="Calibri" w:hAnsi="Calibri" w:cs="Arial"/>
          <w:bCs/>
          <w:iCs/>
          <w:sz w:val="22"/>
          <w:szCs w:val="22"/>
          <w:lang w:val="sr-Latn-CS"/>
        </w:rPr>
        <w:t>. godine</w:t>
      </w:r>
      <w:r w:rsidRPr="0009543E">
        <w:rPr>
          <w:rFonts w:ascii="Calibri" w:hAnsi="Calibri" w:cs="Arial"/>
          <w:bCs/>
          <w:iCs/>
          <w:sz w:val="22"/>
          <w:szCs w:val="22"/>
          <w:lang w:val="sr-Cyrl-ME"/>
        </w:rPr>
        <w:t>,</w:t>
      </w:r>
      <w:r w:rsidRPr="0009543E">
        <w:rPr>
          <w:rFonts w:ascii="Calibri" w:hAnsi="Calibri" w:cs="Arial"/>
          <w:bCs/>
          <w:iCs/>
          <w:sz w:val="22"/>
          <w:szCs w:val="22"/>
          <w:lang w:val="sr-Latn-CS"/>
        </w:rPr>
        <w:t xml:space="preserve"> Regulatorna komisija je donijela Zaključak o</w:t>
      </w:r>
      <w:r w:rsidRPr="0009543E">
        <w:rPr>
          <w:rFonts w:ascii="Calibri" w:hAnsi="Calibri" w:cs="Arial"/>
          <w:b/>
          <w:bCs/>
          <w:iCs/>
          <w:sz w:val="22"/>
          <w:szCs w:val="22"/>
          <w:lang w:val="sr-Latn-CS"/>
        </w:rPr>
        <w:t xml:space="preserve"> </w:t>
      </w:r>
      <w:r w:rsidRPr="0009543E">
        <w:rPr>
          <w:rFonts w:ascii="Calibri" w:hAnsi="Calibri" w:cs="Arial"/>
          <w:bCs/>
          <w:iCs/>
          <w:sz w:val="22"/>
          <w:szCs w:val="22"/>
          <w:lang w:val="sr-Latn-CS"/>
        </w:rPr>
        <w:t xml:space="preserve">provođenju tarifnog postupka </w:t>
      </w:r>
      <w:r w:rsidRPr="0009543E">
        <w:rPr>
          <w:rFonts w:ascii="Calibri" w:hAnsi="Calibri" w:cs="Arial"/>
          <w:bCs/>
          <w:iCs/>
          <w:sz w:val="22"/>
          <w:szCs w:val="22"/>
          <w:lang w:val="sr-Cyrl-RS"/>
        </w:rPr>
        <w:t>za odobrenje tarifnih stavova za pristup transportnom sistemu</w:t>
      </w:r>
      <w:r w:rsidRPr="0009543E">
        <w:rPr>
          <w:rFonts w:ascii="Calibri" w:hAnsi="Calibri" w:cs="Arial"/>
          <w:b/>
          <w:bCs/>
          <w:iCs/>
          <w:sz w:val="22"/>
          <w:szCs w:val="22"/>
          <w:lang w:val="bs-Cyrl-BA"/>
        </w:rPr>
        <w:t xml:space="preserve"> </w:t>
      </w:r>
      <w:r w:rsidRPr="0009543E">
        <w:rPr>
          <w:rFonts w:ascii="Calibri" w:hAnsi="Calibri" w:cs="Arial"/>
          <w:bCs/>
          <w:iCs/>
          <w:sz w:val="22"/>
          <w:szCs w:val="22"/>
          <w:lang w:val="sr-Cyrl-BA"/>
        </w:rPr>
        <w:t>broj 01-191-2/24/P-92-454 od</w:t>
      </w:r>
      <w:r w:rsidRPr="0009543E">
        <w:rPr>
          <w:rFonts w:ascii="Calibri" w:hAnsi="Calibri" w:cs="Arial"/>
          <w:bCs/>
          <w:iCs/>
          <w:sz w:val="22"/>
          <w:szCs w:val="22"/>
          <w:lang w:val="sr-Latn-BA"/>
        </w:rPr>
        <w:t xml:space="preserve"> </w:t>
      </w:r>
      <w:r w:rsidRPr="0009543E">
        <w:rPr>
          <w:rFonts w:ascii="Calibri" w:hAnsi="Calibri" w:cs="Arial"/>
          <w:bCs/>
          <w:iCs/>
          <w:sz w:val="22"/>
          <w:szCs w:val="22"/>
          <w:lang w:val="sr-Cyrl-BA"/>
        </w:rPr>
        <w:t>11. aprila 2024</w:t>
      </w:r>
      <w:r w:rsidRPr="0009543E">
        <w:rPr>
          <w:rFonts w:ascii="Calibri" w:hAnsi="Calibri" w:cs="Arial"/>
          <w:bCs/>
          <w:iCs/>
          <w:sz w:val="22"/>
          <w:szCs w:val="22"/>
          <w:lang w:val="sr-Latn-BA"/>
        </w:rPr>
        <w:t>.</w:t>
      </w:r>
      <w:r w:rsidRPr="0009543E">
        <w:rPr>
          <w:rFonts w:ascii="Calibri" w:hAnsi="Calibri" w:cs="Arial"/>
          <w:bCs/>
          <w:iCs/>
          <w:sz w:val="22"/>
          <w:szCs w:val="22"/>
          <w:lang w:val="sr-Cyrl-BA"/>
        </w:rPr>
        <w:t xml:space="preserve"> godine</w:t>
      </w:r>
      <w:r>
        <w:rPr>
          <w:rFonts w:ascii="Calibri" w:hAnsi="Calibri" w:cs="Arial"/>
          <w:bCs/>
          <w:iCs/>
          <w:sz w:val="22"/>
          <w:szCs w:val="22"/>
          <w:lang w:val="sr-Cyrl-BA"/>
        </w:rPr>
        <w:t>.</w:t>
      </w:r>
      <w:r w:rsidRPr="00737A08">
        <w:rPr>
          <w:rFonts w:ascii="Arial" w:hAnsi="Arial" w:cs="Arial"/>
          <w:iCs/>
          <w:lang w:val="sr-Cyrl-BA" w:eastAsia="bs-Latn-BA"/>
        </w:rPr>
        <w:t xml:space="preserve"> </w:t>
      </w:r>
      <w:r w:rsidRPr="00737A08">
        <w:rPr>
          <w:rFonts w:ascii="Calibri" w:hAnsi="Calibri" w:cs="Arial"/>
          <w:bCs/>
          <w:iCs/>
          <w:sz w:val="22"/>
          <w:szCs w:val="22"/>
          <w:lang w:val="sr-Cyrl-BA"/>
        </w:rPr>
        <w:t xml:space="preserve">Nakon održane formalne rasprave i zaprimljenih komentara, voditelj postupka je sačinio Izvještaj voditelja postupka za odobrenje tarifa za pristup transportnom sistemu prirodnog gasa za zonu </w:t>
      </w:r>
      <w:r w:rsidRPr="00737A08">
        <w:rPr>
          <w:rFonts w:ascii="Calibri" w:hAnsi="Calibri" w:cs="Arial"/>
          <w:bCs/>
          <w:iCs/>
          <w:sz w:val="22"/>
          <w:szCs w:val="22"/>
          <w:lang w:val="sr-Cyrl-RS"/>
        </w:rPr>
        <w:t>"Zvornik</w:t>
      </w:r>
      <w:r w:rsidRPr="00737A08">
        <w:rPr>
          <w:rFonts w:ascii="Calibri" w:hAnsi="Calibri" w:cs="Arial"/>
          <w:bCs/>
          <w:iCs/>
          <w:sz w:val="22"/>
          <w:szCs w:val="22"/>
          <w:lang w:val="sr-Latn-BA"/>
        </w:rPr>
        <w:t xml:space="preserve"> 1/</w:t>
      </w:r>
      <w:r w:rsidRPr="00737A08">
        <w:rPr>
          <w:rFonts w:ascii="Calibri" w:hAnsi="Calibri" w:cs="Arial"/>
          <w:bCs/>
          <w:iCs/>
          <w:sz w:val="22"/>
          <w:szCs w:val="22"/>
          <w:lang w:val="sr-Cyrl-BA"/>
        </w:rPr>
        <w:t>Karakaj-Kladanj (Starić)</w:t>
      </w:r>
      <w:r w:rsidRPr="00737A08">
        <w:rPr>
          <w:rFonts w:ascii="Calibri" w:hAnsi="Calibri" w:cs="Arial"/>
          <w:bCs/>
          <w:iCs/>
          <w:sz w:val="22"/>
          <w:szCs w:val="22"/>
          <w:lang w:val="sr-Cyrl-RS"/>
        </w:rPr>
        <w:t>"</w:t>
      </w:r>
      <w:r w:rsidRPr="00737A08">
        <w:rPr>
          <w:rFonts w:ascii="Calibri" w:hAnsi="Calibri" w:cs="Arial"/>
          <w:bCs/>
          <w:iCs/>
          <w:sz w:val="22"/>
          <w:szCs w:val="22"/>
          <w:lang w:val="sr-Cyrl-BA"/>
        </w:rPr>
        <w:t>, broj 01-191-18/24 od 14. juna 2024. koji je dostavljen na komentarisanje podnosiocu zahtjeva</w:t>
      </w:r>
      <w:r w:rsidRPr="00737A08">
        <w:rPr>
          <w:rFonts w:ascii="Calibri" w:hAnsi="Calibri" w:cs="Arial"/>
          <w:bCs/>
          <w:iCs/>
          <w:sz w:val="22"/>
          <w:szCs w:val="22"/>
          <w:lang w:val="sr-Latn-BA"/>
        </w:rPr>
        <w:t xml:space="preserve"> </w:t>
      </w:r>
      <w:r w:rsidRPr="00737A08">
        <w:rPr>
          <w:rFonts w:ascii="Calibri" w:hAnsi="Calibri" w:cs="Arial"/>
          <w:bCs/>
          <w:iCs/>
          <w:sz w:val="22"/>
          <w:szCs w:val="22"/>
          <w:lang w:val="sr-Cyrl-BA"/>
        </w:rPr>
        <w:t>i drugim strankama u postupku.</w:t>
      </w:r>
      <w:r>
        <w:rPr>
          <w:rFonts w:ascii="Calibri" w:hAnsi="Calibri" w:cs="Arial"/>
          <w:bCs/>
          <w:iCs/>
          <w:sz w:val="22"/>
          <w:szCs w:val="22"/>
          <w:lang w:val="sr-Cyrl-BA"/>
        </w:rPr>
        <w:t xml:space="preserve"> </w:t>
      </w:r>
    </w:p>
    <w:p w:rsidR="005A1B74" w:rsidRDefault="005A1B74" w:rsidP="002D1E7C">
      <w:pPr>
        <w:pStyle w:val="BodyText"/>
        <w:jc w:val="both"/>
        <w:rPr>
          <w:rFonts w:ascii="Calibri" w:hAnsi="Calibri" w:cs="Arial"/>
          <w:bCs/>
          <w:iCs/>
          <w:sz w:val="22"/>
          <w:szCs w:val="22"/>
          <w:lang w:val="sr-Cyrl-BA"/>
        </w:rPr>
      </w:pPr>
      <w:r w:rsidRPr="0009543E">
        <w:rPr>
          <w:rFonts w:ascii="Calibri" w:hAnsi="Calibri" w:cs="Arial"/>
          <w:bCs/>
          <w:iCs/>
          <w:sz w:val="22"/>
          <w:szCs w:val="22"/>
          <w:lang w:val="hr-HR"/>
        </w:rPr>
        <w:t xml:space="preserve">Regulatorna komisija za </w:t>
      </w:r>
      <w:r w:rsidRPr="0009543E">
        <w:rPr>
          <w:rFonts w:ascii="Calibri" w:hAnsi="Calibri" w:cs="Arial"/>
          <w:bCs/>
          <w:iCs/>
          <w:sz w:val="22"/>
          <w:szCs w:val="22"/>
          <w:lang w:val="sr-Cyrl-BA"/>
        </w:rPr>
        <w:t>energetiku</w:t>
      </w:r>
      <w:r w:rsidRPr="0009543E">
        <w:rPr>
          <w:rFonts w:ascii="Calibri" w:hAnsi="Calibri" w:cs="Arial"/>
          <w:bCs/>
          <w:iCs/>
          <w:sz w:val="22"/>
          <w:szCs w:val="22"/>
          <w:lang w:val="hr-HR"/>
        </w:rPr>
        <w:t xml:space="preserve"> Republike Srpske, na 1</w:t>
      </w:r>
      <w:r>
        <w:rPr>
          <w:rFonts w:ascii="Calibri" w:hAnsi="Calibri" w:cs="Arial"/>
          <w:bCs/>
          <w:iCs/>
          <w:sz w:val="22"/>
          <w:szCs w:val="22"/>
          <w:lang w:val="hr-HR"/>
        </w:rPr>
        <w:t>01</w:t>
      </w:r>
      <w:r w:rsidRPr="0009543E">
        <w:rPr>
          <w:rFonts w:ascii="Calibri" w:hAnsi="Calibri" w:cs="Arial"/>
          <w:bCs/>
          <w:iCs/>
          <w:sz w:val="22"/>
          <w:szCs w:val="22"/>
          <w:lang w:val="hr-HR"/>
        </w:rPr>
        <w:t>. redovnoj sjednici</w:t>
      </w:r>
      <w:r w:rsidRPr="0009543E">
        <w:rPr>
          <w:rFonts w:ascii="Calibri" w:hAnsi="Calibri" w:cs="Arial"/>
          <w:bCs/>
          <w:iCs/>
          <w:sz w:val="22"/>
          <w:szCs w:val="22"/>
          <w:lang w:val="sr-Cyrl-ME"/>
        </w:rPr>
        <w:t>,</w:t>
      </w:r>
      <w:r w:rsidRPr="0009543E">
        <w:rPr>
          <w:rFonts w:ascii="Calibri" w:hAnsi="Calibri" w:cs="Arial"/>
          <w:bCs/>
          <w:iCs/>
          <w:sz w:val="22"/>
          <w:szCs w:val="22"/>
          <w:lang w:val="hr-HR"/>
        </w:rPr>
        <w:t xml:space="preserve"> </w:t>
      </w:r>
      <w:r w:rsidRPr="0009543E">
        <w:rPr>
          <w:rFonts w:ascii="Calibri" w:hAnsi="Calibri" w:cs="Arial"/>
          <w:bCs/>
          <w:iCs/>
          <w:sz w:val="22"/>
          <w:szCs w:val="22"/>
          <w:lang w:val="sr-Cyrl-BA"/>
        </w:rPr>
        <w:t>održanoj</w:t>
      </w:r>
      <w:r w:rsidRPr="0009543E">
        <w:rPr>
          <w:rFonts w:ascii="Calibri" w:hAnsi="Calibri" w:cs="Arial"/>
          <w:bCs/>
          <w:iCs/>
          <w:sz w:val="22"/>
          <w:szCs w:val="22"/>
          <w:lang w:val="hr-HR"/>
        </w:rPr>
        <w:t xml:space="preserve"> </w:t>
      </w:r>
      <w:r>
        <w:rPr>
          <w:rFonts w:ascii="Calibri" w:hAnsi="Calibri" w:cs="Arial"/>
          <w:bCs/>
          <w:iCs/>
          <w:sz w:val="22"/>
          <w:szCs w:val="22"/>
          <w:lang w:val="sr-Latn-BA"/>
        </w:rPr>
        <w:t>2</w:t>
      </w:r>
      <w:r w:rsidRPr="0009543E">
        <w:rPr>
          <w:rFonts w:ascii="Calibri" w:hAnsi="Calibri" w:cs="Arial"/>
          <w:bCs/>
          <w:iCs/>
          <w:sz w:val="22"/>
          <w:szCs w:val="22"/>
          <w:lang w:val="sr-Cyrl-BA"/>
        </w:rPr>
        <w:t>7</w:t>
      </w:r>
      <w:r w:rsidRPr="0009543E">
        <w:rPr>
          <w:rFonts w:ascii="Calibri" w:hAnsi="Calibri" w:cs="Arial"/>
          <w:bCs/>
          <w:iCs/>
          <w:sz w:val="22"/>
          <w:szCs w:val="22"/>
          <w:lang w:val="bs-Latn-BA"/>
        </w:rPr>
        <w:t>.</w:t>
      </w:r>
      <w:r w:rsidRPr="0009543E">
        <w:rPr>
          <w:rFonts w:ascii="Calibri" w:hAnsi="Calibri" w:cs="Arial"/>
          <w:bCs/>
          <w:iCs/>
          <w:sz w:val="22"/>
          <w:szCs w:val="22"/>
          <w:lang w:val="sr-Cyrl-RS"/>
        </w:rPr>
        <w:t xml:space="preserve"> </w:t>
      </w:r>
      <w:r>
        <w:rPr>
          <w:rFonts w:ascii="Calibri" w:hAnsi="Calibri" w:cs="Arial"/>
          <w:bCs/>
          <w:iCs/>
          <w:sz w:val="22"/>
          <w:szCs w:val="22"/>
          <w:lang w:val="sr-Cyrl-BA"/>
        </w:rPr>
        <w:t>juna</w:t>
      </w:r>
      <w:r w:rsidRPr="0009543E">
        <w:rPr>
          <w:rFonts w:ascii="Calibri" w:hAnsi="Calibri" w:cs="Arial"/>
          <w:bCs/>
          <w:iCs/>
          <w:sz w:val="22"/>
          <w:szCs w:val="22"/>
          <w:lang w:val="sr-Cyrl-RS"/>
        </w:rPr>
        <w:t xml:space="preserve"> </w:t>
      </w:r>
      <w:r w:rsidRPr="0009543E">
        <w:rPr>
          <w:rFonts w:ascii="Calibri" w:hAnsi="Calibri" w:cs="Arial"/>
          <w:bCs/>
          <w:iCs/>
          <w:sz w:val="22"/>
          <w:szCs w:val="22"/>
          <w:lang w:val="hr-HR"/>
        </w:rPr>
        <w:t xml:space="preserve">2024. godine, u Trebinju, donijela je </w:t>
      </w:r>
      <w:r>
        <w:rPr>
          <w:rFonts w:ascii="Calibri" w:hAnsi="Calibri" w:cs="Arial"/>
          <w:bCs/>
          <w:iCs/>
          <w:sz w:val="22"/>
          <w:szCs w:val="22"/>
          <w:lang w:val="sr-Cyrl-BA"/>
        </w:rPr>
        <w:t>Rješenje</w:t>
      </w:r>
      <w:r>
        <w:rPr>
          <w:rFonts w:ascii="Calibri" w:hAnsi="Calibri" w:cs="Arial"/>
          <w:b/>
          <w:bCs/>
          <w:iCs/>
          <w:sz w:val="22"/>
          <w:szCs w:val="22"/>
          <w:lang w:val="sr-Cyrl-BA"/>
        </w:rPr>
        <w:t xml:space="preserve"> </w:t>
      </w:r>
      <w:r w:rsidRPr="004878EC">
        <w:rPr>
          <w:rFonts w:ascii="Calibri" w:hAnsi="Calibri" w:cs="Arial"/>
          <w:bCs/>
          <w:iCs/>
          <w:sz w:val="22"/>
          <w:szCs w:val="22"/>
          <w:lang w:val="sr-Latn-CS"/>
        </w:rPr>
        <w:t>o</w:t>
      </w:r>
      <w:r w:rsidRPr="004878EC">
        <w:rPr>
          <w:rFonts w:ascii="Calibri" w:hAnsi="Calibri" w:cs="Arial"/>
          <w:bCs/>
          <w:iCs/>
          <w:sz w:val="22"/>
          <w:szCs w:val="22"/>
          <w:lang w:val="sr-Cyrl-BA"/>
        </w:rPr>
        <w:t xml:space="preserve"> </w:t>
      </w:r>
      <w:r w:rsidRPr="004878EC">
        <w:rPr>
          <w:rFonts w:ascii="Calibri" w:hAnsi="Calibri" w:cs="Arial"/>
          <w:bCs/>
          <w:iCs/>
          <w:sz w:val="22"/>
          <w:szCs w:val="22"/>
          <w:lang w:val="sr-Cyrl-CS"/>
        </w:rPr>
        <w:t>odobrenju</w:t>
      </w:r>
      <w:r w:rsidRPr="004878EC">
        <w:rPr>
          <w:rFonts w:ascii="Calibri" w:hAnsi="Calibri" w:cs="Arial"/>
          <w:bCs/>
          <w:iCs/>
          <w:sz w:val="22"/>
          <w:szCs w:val="22"/>
          <w:lang w:val="sr-Cyrl-BA"/>
        </w:rPr>
        <w:t xml:space="preserve"> tarifa za pristup</w:t>
      </w:r>
      <w:r>
        <w:rPr>
          <w:rFonts w:ascii="Calibri" w:hAnsi="Calibri" w:cs="Arial"/>
          <w:bCs/>
          <w:iCs/>
          <w:sz w:val="22"/>
          <w:szCs w:val="22"/>
          <w:lang w:val="sr-Cyrl-BA"/>
        </w:rPr>
        <w:t xml:space="preserve"> </w:t>
      </w:r>
      <w:r w:rsidRPr="004878EC">
        <w:rPr>
          <w:rFonts w:ascii="Calibri" w:hAnsi="Calibri" w:cs="Arial"/>
          <w:bCs/>
          <w:iCs/>
          <w:sz w:val="22"/>
          <w:szCs w:val="22"/>
          <w:lang w:val="sr-Cyrl-BA"/>
        </w:rPr>
        <w:t>transportnom sistemu prirodn</w:t>
      </w:r>
      <w:r w:rsidRPr="004878EC">
        <w:rPr>
          <w:rFonts w:ascii="Calibri" w:hAnsi="Calibri" w:cs="Arial"/>
          <w:bCs/>
          <w:iCs/>
          <w:sz w:val="22"/>
          <w:szCs w:val="22"/>
          <w:lang w:val="sr-Cyrl-RS"/>
        </w:rPr>
        <w:t>og</w:t>
      </w:r>
      <w:r w:rsidRPr="004878EC">
        <w:rPr>
          <w:rFonts w:ascii="Calibri" w:hAnsi="Calibri" w:cs="Arial"/>
          <w:bCs/>
          <w:iCs/>
          <w:sz w:val="22"/>
          <w:szCs w:val="22"/>
          <w:lang w:val="sr-Cyrl-BA"/>
        </w:rPr>
        <w:t xml:space="preserve"> gas</w:t>
      </w:r>
      <w:r w:rsidRPr="004878EC">
        <w:rPr>
          <w:rFonts w:ascii="Calibri" w:hAnsi="Calibri" w:cs="Arial"/>
          <w:bCs/>
          <w:iCs/>
          <w:sz w:val="22"/>
          <w:szCs w:val="22"/>
          <w:lang w:val="sr-Cyrl-RS"/>
        </w:rPr>
        <w:t>a</w:t>
      </w:r>
      <w:r w:rsidRPr="004878EC">
        <w:rPr>
          <w:rFonts w:ascii="Calibri" w:hAnsi="Calibri" w:cs="Arial"/>
          <w:bCs/>
          <w:iCs/>
          <w:sz w:val="22"/>
          <w:szCs w:val="22"/>
          <w:lang w:val="sr-Cyrl-BA"/>
        </w:rPr>
        <w:t xml:space="preserve"> za zonu </w:t>
      </w:r>
      <w:r w:rsidRPr="00737A08">
        <w:rPr>
          <w:rFonts w:ascii="Calibri" w:hAnsi="Calibri" w:cs="Arial"/>
          <w:bCs/>
          <w:iCs/>
          <w:sz w:val="22"/>
          <w:szCs w:val="22"/>
          <w:lang w:val="sr-Cyrl-BA"/>
        </w:rPr>
        <w:t>''</w:t>
      </w:r>
      <w:r w:rsidRPr="004878EC">
        <w:rPr>
          <w:rFonts w:ascii="Calibri" w:hAnsi="Calibri" w:cs="Arial"/>
          <w:bCs/>
          <w:iCs/>
          <w:sz w:val="22"/>
          <w:szCs w:val="22"/>
          <w:lang w:val="sr-Cyrl-BA"/>
        </w:rPr>
        <w:t>Zvornik 1/Karakaj-Kladanj (Starić)</w:t>
      </w:r>
      <w:r w:rsidRPr="00737A08">
        <w:rPr>
          <w:rFonts w:ascii="Calibri" w:hAnsi="Calibri" w:cs="Arial"/>
          <w:bCs/>
          <w:iCs/>
          <w:sz w:val="22"/>
          <w:szCs w:val="22"/>
          <w:lang w:val="sr-Cyrl-BA"/>
        </w:rPr>
        <w:t>''</w:t>
      </w:r>
      <w:r>
        <w:rPr>
          <w:rFonts w:ascii="Calibri" w:hAnsi="Calibri" w:cs="Arial"/>
          <w:bCs/>
          <w:iCs/>
          <w:sz w:val="22"/>
          <w:szCs w:val="22"/>
          <w:lang w:val="sr-Cyrl-BA"/>
        </w:rPr>
        <w:t>.</w:t>
      </w:r>
    </w:p>
    <w:p w:rsidR="005A1B74" w:rsidRPr="00281D1F" w:rsidRDefault="005A1B74" w:rsidP="002D1E7C">
      <w:pPr>
        <w:pStyle w:val="BodyText"/>
        <w:rPr>
          <w:rFonts w:asciiTheme="minorHAnsi" w:hAnsiTheme="minorHAnsi" w:cs="Calibri"/>
          <w:b/>
          <w:i/>
          <w:sz w:val="22"/>
          <w:szCs w:val="22"/>
          <w:lang w:val="sr-Cyrl-BA"/>
        </w:rPr>
      </w:pPr>
      <w:r w:rsidRPr="00281D1F">
        <w:rPr>
          <w:rFonts w:asciiTheme="minorHAnsi" w:hAnsiTheme="minorHAnsi" w:cs="Calibri"/>
          <w:b/>
          <w:i/>
          <w:sz w:val="22"/>
          <w:szCs w:val="22"/>
          <w:lang w:val="sr-Cyrl-BA"/>
        </w:rPr>
        <w:t>Tržište prirodnog gasa</w:t>
      </w:r>
    </w:p>
    <w:p w:rsidR="005A1B74" w:rsidRPr="00281D1F" w:rsidRDefault="005A1B74" w:rsidP="002D1E7C">
      <w:pPr>
        <w:spacing w:before="120"/>
        <w:jc w:val="both"/>
        <w:rPr>
          <w:rFonts w:asciiTheme="minorHAnsi" w:hAnsiTheme="minorHAnsi" w:cs="Calibri"/>
          <w:sz w:val="22"/>
          <w:szCs w:val="22"/>
          <w:lang w:val="sr-Cyrl-BA"/>
        </w:rPr>
      </w:pPr>
      <w:r w:rsidRPr="00281D1F">
        <w:rPr>
          <w:rFonts w:asciiTheme="minorHAnsi" w:hAnsiTheme="minorHAnsi" w:cs="Calibri"/>
          <w:sz w:val="22"/>
          <w:szCs w:val="22"/>
          <w:lang w:val="sr-Cyrl-BA"/>
        </w:rPr>
        <w:t>Djelatnosti transporta i distribucije prirodnog gasa te skladištenje prirodnog gasa su, kao monopolske djelatnosti, predmet potpune regulacije, dok su proizvodnja, trgovina i snabdijevanje kupaca prirodnim gasom djelatnosti koje se mogu obavljati u tržišnim uslovima, te zahtijevaju proces liberalizacije uslova njihovog obavljanja, odnosno uvođenje takvih tržišnih mehanizama u kojima će se moći ostvariti njihov tržišni karakter.</w:t>
      </w:r>
    </w:p>
    <w:p w:rsidR="005A1B74" w:rsidRPr="00281D1F" w:rsidRDefault="005A1B74" w:rsidP="002D1E7C">
      <w:pPr>
        <w:spacing w:before="120"/>
        <w:jc w:val="both"/>
        <w:rPr>
          <w:rFonts w:asciiTheme="minorHAnsi" w:hAnsiTheme="minorHAnsi" w:cs="Calibri"/>
          <w:sz w:val="22"/>
          <w:szCs w:val="22"/>
          <w:lang w:val="sr-Cyrl-BA"/>
        </w:rPr>
      </w:pPr>
      <w:r w:rsidRPr="00281D1F">
        <w:rPr>
          <w:rFonts w:asciiTheme="minorHAnsi" w:hAnsiTheme="minorHAnsi" w:cs="Calibri"/>
          <w:sz w:val="22"/>
          <w:szCs w:val="22"/>
          <w:lang w:val="sr-Cyrl-BA"/>
        </w:rPr>
        <w:lastRenderedPageBreak/>
        <w:t>U cilju što boljeg organizovanja, regulisanja i funkcionisanja sektora prirodnog gasa te obezbjeđenja sigurnosti snabdijevanja i razvoja sistema prirodnog gasa, Zakon o gasu propisuje da Regulatorna komisija utvrđuje metodologije za obračunavanje troškova transporta, distribucije, skladištenja i snabdijevanja prirodnim gasom, metodologiju za određivanje cijene javnog snabdijevanja i snabdijevanja posljednjeg izbora i metodologiju za obračunavanje troškova priključka na sistem te, u cilju sprečavanja zloupotrebe monopolskog položaja, daje saglasnost energetskim subjektima na cijene javnog snabdijevanja i snabdijevanja posljednjeg izbora prirodnim gasom i cijene upravljanja, pristupa i korišćenja transportnog i distributivnog sistema ili skladišta.</w:t>
      </w:r>
    </w:p>
    <w:p w:rsidR="005A1B74" w:rsidRPr="00281D1F" w:rsidRDefault="005A1B74" w:rsidP="002D1E7C">
      <w:pPr>
        <w:spacing w:before="120"/>
        <w:jc w:val="both"/>
        <w:rPr>
          <w:rFonts w:asciiTheme="minorHAnsi" w:hAnsiTheme="minorHAnsi" w:cs="Calibri"/>
          <w:sz w:val="22"/>
          <w:szCs w:val="22"/>
          <w:lang w:val="sr-Cyrl-BA"/>
        </w:rPr>
      </w:pPr>
      <w:bookmarkStart w:id="167" w:name="_Toc293411087"/>
      <w:bookmarkStart w:id="168" w:name="_Toc293414775"/>
      <w:bookmarkStart w:id="169" w:name="_Toc293563725"/>
      <w:bookmarkStart w:id="170" w:name="_Toc358640046"/>
      <w:bookmarkStart w:id="171" w:name="_Toc358640264"/>
      <w:bookmarkStart w:id="172" w:name="_Toc358640482"/>
      <w:bookmarkStart w:id="173" w:name="_Toc358640906"/>
      <w:r w:rsidRPr="00281D1F">
        <w:rPr>
          <w:rFonts w:asciiTheme="minorHAnsi" w:hAnsiTheme="minorHAnsi" w:cs="Calibri"/>
          <w:sz w:val="22"/>
          <w:szCs w:val="22"/>
          <w:lang w:val="sr-Cyrl-BA"/>
        </w:rPr>
        <w:t>U narednom periodu se očekuje i početak snabdijevanja prirodnim gasom područja Grada Bijeljine, što će svakako doprinijeti razvoju, kako samog sektora prirodnog gasa tako i tržišta prirodnog gasa u Republici Srpskoj.</w:t>
      </w:r>
    </w:p>
    <w:p w:rsidR="005A1B74" w:rsidRPr="00281D1F" w:rsidRDefault="005A1B74" w:rsidP="002D1E7C">
      <w:pPr>
        <w:pStyle w:val="Heading3"/>
        <w:numPr>
          <w:ilvl w:val="2"/>
          <w:numId w:val="32"/>
        </w:numPr>
        <w:spacing w:after="240"/>
        <w:rPr>
          <w:rFonts w:asciiTheme="minorHAnsi" w:hAnsiTheme="minorHAnsi"/>
          <w:sz w:val="24"/>
          <w:lang w:val="sr-Cyrl-BA"/>
        </w:rPr>
      </w:pPr>
      <w:bookmarkStart w:id="174" w:name="_Toc210301166"/>
      <w:r w:rsidRPr="00281D1F">
        <w:rPr>
          <w:rFonts w:asciiTheme="minorHAnsi" w:hAnsiTheme="minorHAnsi"/>
          <w:sz w:val="24"/>
          <w:lang w:val="sr-Cyrl-BA"/>
        </w:rPr>
        <w:t>Zaštita kupaca prirodnog gasa</w:t>
      </w:r>
      <w:bookmarkEnd w:id="167"/>
      <w:bookmarkEnd w:id="168"/>
      <w:bookmarkEnd w:id="169"/>
      <w:bookmarkEnd w:id="170"/>
      <w:bookmarkEnd w:id="171"/>
      <w:bookmarkEnd w:id="172"/>
      <w:bookmarkEnd w:id="173"/>
      <w:bookmarkEnd w:id="174"/>
    </w:p>
    <w:p w:rsidR="005A1B74" w:rsidRPr="00281D1F" w:rsidRDefault="005A1B74" w:rsidP="002D1E7C">
      <w:pPr>
        <w:numPr>
          <w:ilvl w:val="0"/>
          <w:numId w:val="26"/>
        </w:numPr>
        <w:spacing w:before="240" w:after="120"/>
        <w:ind w:left="1077" w:hanging="357"/>
        <w:jc w:val="both"/>
        <w:rPr>
          <w:rFonts w:asciiTheme="minorHAnsi" w:hAnsiTheme="minorHAnsi" w:cs="Calibri"/>
          <w:i/>
          <w:sz w:val="22"/>
          <w:szCs w:val="22"/>
          <w:lang w:val="sr-Cyrl-BA"/>
        </w:rPr>
      </w:pPr>
      <w:r w:rsidRPr="00281D1F">
        <w:rPr>
          <w:rFonts w:asciiTheme="minorHAnsi" w:hAnsiTheme="minorHAnsi" w:cs="Calibri"/>
          <w:b/>
          <w:i/>
          <w:sz w:val="22"/>
          <w:szCs w:val="22"/>
          <w:lang w:val="sr-Cyrl-BA"/>
        </w:rPr>
        <w:t xml:space="preserve"> Regulatorni okvir zaštite kupaca prirodnog gasa</w:t>
      </w:r>
    </w:p>
    <w:p w:rsidR="005A1B74" w:rsidRPr="00281D1F" w:rsidRDefault="005A1B74" w:rsidP="002D1E7C">
      <w:pPr>
        <w:spacing w:before="120"/>
        <w:jc w:val="both"/>
        <w:rPr>
          <w:rFonts w:asciiTheme="minorHAnsi" w:hAnsiTheme="minorHAnsi"/>
          <w:sz w:val="22"/>
          <w:szCs w:val="22"/>
          <w:lang w:val="sr-Cyrl-BA"/>
        </w:rPr>
      </w:pPr>
      <w:r w:rsidRPr="00281D1F">
        <w:rPr>
          <w:rFonts w:asciiTheme="minorHAnsi" w:hAnsiTheme="minorHAnsi"/>
          <w:sz w:val="22"/>
          <w:szCs w:val="22"/>
          <w:lang w:val="sr-Cyrl-BA"/>
        </w:rPr>
        <w:t xml:space="preserve">Regulatorna komisija je, usvajanjem </w:t>
      </w:r>
      <w:r w:rsidRPr="00281D1F">
        <w:rPr>
          <w:rFonts w:asciiTheme="minorHAnsi" w:hAnsiTheme="minorHAnsi"/>
          <w:i/>
          <w:sz w:val="22"/>
          <w:szCs w:val="22"/>
          <w:lang w:val="sr-Cyrl-BA"/>
        </w:rPr>
        <w:t>seta, naprijed navedenih podzakonskih akata u skladu sa odredbama Zakona o gasu</w:t>
      </w:r>
      <w:r w:rsidRPr="00281D1F">
        <w:rPr>
          <w:rFonts w:asciiTheme="minorHAnsi" w:hAnsiTheme="minorHAnsi" w:cs="Arial"/>
          <w:i/>
          <w:sz w:val="22"/>
          <w:szCs w:val="22"/>
          <w:lang w:val="sr-Cyrl-BA"/>
        </w:rPr>
        <w:t xml:space="preserve"> </w:t>
      </w:r>
      <w:r w:rsidRPr="00281D1F">
        <w:rPr>
          <w:rFonts w:asciiTheme="minorHAnsi" w:hAnsiTheme="minorHAnsi"/>
          <w:sz w:val="22"/>
          <w:szCs w:val="22"/>
          <w:lang w:val="sr-Cyrl-BA"/>
        </w:rPr>
        <w:t xml:space="preserve">te davanjem saglasnosti na pravila rada transportnog i pravila rada distributivnog sistema i opšte uslove za snabdijevanje prirodnim gasom, stvorila uslove za praćenje i omogućavanje zaštite krajnjih kupaca prirodnog gasa u okviru svojih nadležnosti koje proističu iz Zakona o gasu. </w:t>
      </w:r>
    </w:p>
    <w:p w:rsidR="005A1B74" w:rsidRPr="00281D1F" w:rsidRDefault="005A1B74" w:rsidP="002D1E7C">
      <w:pPr>
        <w:numPr>
          <w:ilvl w:val="0"/>
          <w:numId w:val="26"/>
        </w:numPr>
        <w:spacing w:before="240" w:after="120"/>
        <w:ind w:left="1077" w:hanging="357"/>
        <w:jc w:val="both"/>
        <w:rPr>
          <w:rFonts w:asciiTheme="minorHAnsi" w:hAnsiTheme="minorHAnsi" w:cs="Calibri"/>
          <w:i/>
          <w:sz w:val="22"/>
          <w:szCs w:val="22"/>
          <w:lang w:val="sr-Cyrl-BA"/>
        </w:rPr>
      </w:pPr>
      <w:r w:rsidRPr="00281D1F">
        <w:rPr>
          <w:rFonts w:asciiTheme="minorHAnsi" w:hAnsiTheme="minorHAnsi" w:cs="Calibri"/>
          <w:b/>
          <w:i/>
          <w:sz w:val="22"/>
          <w:szCs w:val="22"/>
          <w:lang w:val="sr-Cyrl-BA"/>
        </w:rPr>
        <w:t xml:space="preserve"> Rješavanje sporova i žalbi</w:t>
      </w:r>
    </w:p>
    <w:p w:rsidR="005A1B74" w:rsidRPr="00281D1F" w:rsidRDefault="005A1B74" w:rsidP="002D1E7C">
      <w:pPr>
        <w:spacing w:before="120" w:after="120"/>
        <w:jc w:val="both"/>
        <w:rPr>
          <w:rFonts w:asciiTheme="minorHAnsi" w:hAnsiTheme="minorHAnsi" w:cs="Arial"/>
          <w:sz w:val="22"/>
          <w:szCs w:val="22"/>
          <w:lang w:val="sr-Cyrl-BA"/>
        </w:rPr>
      </w:pPr>
      <w:r w:rsidRPr="00281D1F">
        <w:rPr>
          <w:rFonts w:asciiTheme="minorHAnsi" w:hAnsiTheme="minorHAnsi" w:cs="Arial"/>
          <w:sz w:val="22"/>
          <w:szCs w:val="22"/>
          <w:lang w:val="sr-Cyrl-BA"/>
        </w:rPr>
        <w:t xml:space="preserve">Na osnovu odredbe člana 30. Zakona o gasu, Regulatorna komisija je nadležna da na zahtjev stranke rješava sporove između korisnika sistema i operatora sistema, energetskih subjekata i kupaca prirodnog gasa i energetskih subjekata međusobno. Predmeti zahtjeva za rješavanje sporova mogu biti u vezi sa pravom na snabdijevanje prirodnim gasom, pristupom sistemima, naknadama za priključenje, naknadama za debalans sistema, obračunom utrošenog prirodnog gasa, obračunom naknade za neovlašćenu potrošnju prirodnog gasa, obustavom isporuke prirodnog gasa i kvalitetom snabdijevanja prirodnim gasom. </w:t>
      </w:r>
    </w:p>
    <w:p w:rsidR="005A1B74" w:rsidRPr="00281D1F" w:rsidRDefault="005A1B74" w:rsidP="002D1E7C">
      <w:pPr>
        <w:spacing w:before="120" w:after="240"/>
        <w:jc w:val="both"/>
        <w:rPr>
          <w:rFonts w:asciiTheme="minorHAnsi" w:hAnsiTheme="minorHAnsi" w:cs="Arial"/>
          <w:sz w:val="22"/>
          <w:szCs w:val="22"/>
          <w:lang w:val="sr-Cyrl-BA"/>
        </w:rPr>
      </w:pPr>
      <w:r w:rsidRPr="00281D1F">
        <w:rPr>
          <w:rFonts w:asciiTheme="minorHAnsi" w:hAnsiTheme="minorHAnsi" w:cs="Arial"/>
          <w:sz w:val="22"/>
          <w:szCs w:val="22"/>
          <w:lang w:val="sr-Cyrl-BA"/>
        </w:rPr>
        <w:t>U toku 202</w:t>
      </w:r>
      <w:r>
        <w:rPr>
          <w:rFonts w:asciiTheme="minorHAnsi" w:hAnsiTheme="minorHAnsi" w:cs="Arial"/>
          <w:sz w:val="22"/>
          <w:szCs w:val="22"/>
          <w:lang w:val="sr-Cyrl-BA"/>
        </w:rPr>
        <w:t>4</w:t>
      </w:r>
      <w:r w:rsidRPr="00281D1F">
        <w:rPr>
          <w:rFonts w:asciiTheme="minorHAnsi" w:hAnsiTheme="minorHAnsi" w:cs="Arial"/>
          <w:sz w:val="22"/>
          <w:szCs w:val="22"/>
          <w:lang w:val="sr-Cyrl-BA"/>
        </w:rPr>
        <w:t>. godine, nije bilo podnesenih zahtjeva za rješavanje sporova Regulatornoj komisiji od strane učesnika na tržištu prirodnog gasa.</w:t>
      </w:r>
    </w:p>
    <w:p w:rsidR="005A1B74" w:rsidRPr="00281D1F" w:rsidRDefault="005A1B74" w:rsidP="002D1E7C">
      <w:pPr>
        <w:pStyle w:val="Heading3"/>
        <w:numPr>
          <w:ilvl w:val="1"/>
          <w:numId w:val="32"/>
        </w:numPr>
        <w:spacing w:after="240"/>
        <w:rPr>
          <w:rFonts w:asciiTheme="minorHAnsi" w:hAnsiTheme="minorHAnsi"/>
          <w:lang w:val="sr-Cyrl-BA"/>
        </w:rPr>
      </w:pPr>
      <w:bookmarkStart w:id="175" w:name="_Toc293411088"/>
      <w:bookmarkStart w:id="176" w:name="_Toc293414776"/>
      <w:bookmarkStart w:id="177" w:name="_Toc293563726"/>
      <w:bookmarkStart w:id="178" w:name="_Toc358640047"/>
      <w:bookmarkStart w:id="179" w:name="_Toc358640265"/>
      <w:bookmarkStart w:id="180" w:name="_Toc358640483"/>
      <w:bookmarkStart w:id="181" w:name="_Toc358640907"/>
      <w:bookmarkStart w:id="182" w:name="_Toc210301167"/>
      <w:r w:rsidRPr="00281D1F">
        <w:rPr>
          <w:rFonts w:asciiTheme="minorHAnsi" w:hAnsiTheme="minorHAnsi"/>
          <w:lang w:val="sr-Cyrl-BA"/>
        </w:rPr>
        <w:t>Regulisanje sektora nafte i derivata nafte</w:t>
      </w:r>
      <w:bookmarkEnd w:id="175"/>
      <w:bookmarkEnd w:id="176"/>
      <w:bookmarkEnd w:id="177"/>
      <w:bookmarkEnd w:id="178"/>
      <w:bookmarkEnd w:id="179"/>
      <w:bookmarkEnd w:id="180"/>
      <w:bookmarkEnd w:id="181"/>
      <w:bookmarkEnd w:id="182"/>
    </w:p>
    <w:p w:rsidR="005A1B74" w:rsidRPr="00281D1F" w:rsidRDefault="005A1B74" w:rsidP="002D1E7C">
      <w:pPr>
        <w:pStyle w:val="Heading3"/>
        <w:numPr>
          <w:ilvl w:val="2"/>
          <w:numId w:val="32"/>
        </w:numPr>
        <w:spacing w:after="240"/>
        <w:rPr>
          <w:rFonts w:asciiTheme="minorHAnsi" w:hAnsiTheme="minorHAnsi"/>
          <w:sz w:val="24"/>
          <w:lang w:val="sr-Cyrl-BA"/>
        </w:rPr>
      </w:pPr>
      <w:bookmarkStart w:id="183" w:name="_Toc293411089"/>
      <w:bookmarkStart w:id="184" w:name="_Toc293414777"/>
      <w:bookmarkStart w:id="185" w:name="_Toc293563727"/>
      <w:bookmarkStart w:id="186" w:name="_Toc358640048"/>
      <w:bookmarkStart w:id="187" w:name="_Toc358640266"/>
      <w:bookmarkStart w:id="188" w:name="_Toc358640484"/>
      <w:bookmarkStart w:id="189" w:name="_Toc358640908"/>
      <w:bookmarkStart w:id="190" w:name="_Toc210301168"/>
      <w:r w:rsidRPr="00281D1F">
        <w:rPr>
          <w:rFonts w:asciiTheme="minorHAnsi" w:hAnsiTheme="minorHAnsi"/>
          <w:sz w:val="24"/>
          <w:lang w:val="sr-Cyrl-BA"/>
        </w:rPr>
        <w:t>Donošenje i odobravanje pravila i propisa</w:t>
      </w:r>
      <w:bookmarkEnd w:id="183"/>
      <w:bookmarkEnd w:id="184"/>
      <w:bookmarkEnd w:id="185"/>
      <w:bookmarkEnd w:id="186"/>
      <w:bookmarkEnd w:id="187"/>
      <w:bookmarkEnd w:id="188"/>
      <w:bookmarkEnd w:id="189"/>
      <w:bookmarkEnd w:id="190"/>
    </w:p>
    <w:p w:rsidR="005A1B74" w:rsidRPr="00281D1F" w:rsidRDefault="005A1B74" w:rsidP="002D1E7C">
      <w:pPr>
        <w:spacing w:before="120"/>
        <w:jc w:val="both"/>
        <w:rPr>
          <w:rFonts w:asciiTheme="minorHAnsi" w:hAnsiTheme="minorHAnsi"/>
          <w:sz w:val="22"/>
          <w:szCs w:val="22"/>
          <w:lang w:val="sr-Cyrl-BA"/>
        </w:rPr>
      </w:pPr>
      <w:r w:rsidRPr="00281D1F">
        <w:rPr>
          <w:rFonts w:asciiTheme="minorHAnsi" w:hAnsiTheme="minorHAnsi" w:cs="Arial"/>
          <w:sz w:val="22"/>
          <w:szCs w:val="22"/>
          <w:lang w:val="sr-Cyrl-BA"/>
        </w:rPr>
        <w:t>U 202</w:t>
      </w:r>
      <w:r>
        <w:rPr>
          <w:rFonts w:asciiTheme="minorHAnsi" w:hAnsiTheme="minorHAnsi" w:cs="Arial"/>
          <w:sz w:val="22"/>
          <w:szCs w:val="22"/>
          <w:lang w:val="sr-Cyrl-BA"/>
        </w:rPr>
        <w:t>4</w:t>
      </w:r>
      <w:r w:rsidRPr="00281D1F">
        <w:rPr>
          <w:rFonts w:asciiTheme="minorHAnsi" w:hAnsiTheme="minorHAnsi" w:cs="Arial"/>
          <w:sz w:val="22"/>
          <w:szCs w:val="22"/>
          <w:lang w:val="sr-Cyrl-BA"/>
        </w:rPr>
        <w:t>. godini, nije bilo aktivnosti na donošenju propisa i pravila u sektoru nafte i derivata nafte.</w:t>
      </w:r>
    </w:p>
    <w:p w:rsidR="005A1B74" w:rsidRPr="00281D1F" w:rsidRDefault="005A1B74" w:rsidP="002D1E7C">
      <w:pPr>
        <w:pStyle w:val="Heading3"/>
        <w:numPr>
          <w:ilvl w:val="2"/>
          <w:numId w:val="32"/>
        </w:numPr>
        <w:spacing w:after="240"/>
        <w:rPr>
          <w:rFonts w:asciiTheme="minorHAnsi" w:hAnsiTheme="minorHAnsi"/>
          <w:sz w:val="24"/>
          <w:lang w:val="sr-Cyrl-BA"/>
        </w:rPr>
      </w:pPr>
      <w:bookmarkStart w:id="191" w:name="_Toc210301169"/>
      <w:r w:rsidRPr="00281D1F">
        <w:rPr>
          <w:rFonts w:asciiTheme="minorHAnsi" w:hAnsiTheme="minorHAnsi"/>
          <w:sz w:val="24"/>
          <w:lang w:val="sr-Cyrl-BA"/>
        </w:rPr>
        <w:t>Izdavanje dozvola</w:t>
      </w:r>
      <w:bookmarkEnd w:id="191"/>
    </w:p>
    <w:p w:rsidR="005A1B74" w:rsidRPr="00281D1F" w:rsidRDefault="005A1B74" w:rsidP="002D1E7C">
      <w:pPr>
        <w:tabs>
          <w:tab w:val="left" w:pos="0"/>
        </w:tabs>
        <w:spacing w:after="120"/>
        <w:jc w:val="both"/>
        <w:rPr>
          <w:rFonts w:asciiTheme="minorHAnsi" w:hAnsiTheme="minorHAnsi" w:cs="Calibri"/>
          <w:sz w:val="22"/>
          <w:szCs w:val="22"/>
          <w:lang w:val="sr-Cyrl-BA"/>
        </w:rPr>
      </w:pPr>
      <w:r w:rsidRPr="00281D1F">
        <w:rPr>
          <w:rFonts w:asciiTheme="minorHAnsi" w:hAnsiTheme="minorHAnsi" w:cs="Calibri"/>
          <w:sz w:val="22"/>
          <w:szCs w:val="22"/>
          <w:lang w:val="sr-Cyrl-BA"/>
        </w:rPr>
        <w:t>U 202</w:t>
      </w:r>
      <w:r>
        <w:rPr>
          <w:rFonts w:asciiTheme="minorHAnsi" w:hAnsiTheme="minorHAnsi" w:cs="Calibri"/>
          <w:sz w:val="22"/>
          <w:szCs w:val="22"/>
          <w:lang w:val="sr-Cyrl-BA"/>
        </w:rPr>
        <w:t>4</w:t>
      </w:r>
      <w:r w:rsidRPr="00281D1F">
        <w:rPr>
          <w:rFonts w:asciiTheme="minorHAnsi" w:hAnsiTheme="minorHAnsi" w:cs="Calibri"/>
          <w:sz w:val="22"/>
          <w:szCs w:val="22"/>
          <w:lang w:val="sr-Cyrl-BA"/>
        </w:rPr>
        <w:t xml:space="preserve">. godini, nije bilo podnesenih zahtjeva za izdavanje dozvola u sektoru nafte i derivata nafte. </w:t>
      </w:r>
    </w:p>
    <w:p w:rsidR="005A1B74" w:rsidRPr="00357271" w:rsidRDefault="005A1B74" w:rsidP="002D1E7C">
      <w:pPr>
        <w:spacing w:after="120"/>
        <w:jc w:val="both"/>
        <w:rPr>
          <w:rFonts w:asciiTheme="minorHAnsi" w:hAnsiTheme="minorHAnsi" w:cs="Cambria"/>
          <w:sz w:val="22"/>
          <w:szCs w:val="22"/>
          <w:lang w:val="sr-Cyrl-BA"/>
        </w:rPr>
      </w:pPr>
      <w:r w:rsidRPr="00357271">
        <w:rPr>
          <w:rFonts w:ascii="Calibri" w:hAnsi="Calibri"/>
          <w:sz w:val="22"/>
          <w:szCs w:val="22"/>
          <w:lang w:val="sr-Cyrl-BA"/>
        </w:rPr>
        <w:t>Zaključno sa krajem 2024. godine, u sektoru nafte i derivata nafte, postoje tri važeće dozvole za obavljanje djelatnosti - jedna za obavljanje djelatnosti proizvodnje derivata nafte i dvije za obavljanje djelatnosti skladištenja nafte i derivata nafte.</w:t>
      </w:r>
    </w:p>
    <w:p w:rsidR="005A1B74" w:rsidRPr="00281D1F" w:rsidRDefault="005A1B74" w:rsidP="002D1E7C">
      <w:pPr>
        <w:pStyle w:val="Heading3"/>
        <w:numPr>
          <w:ilvl w:val="2"/>
          <w:numId w:val="32"/>
        </w:numPr>
        <w:spacing w:after="240"/>
        <w:rPr>
          <w:rFonts w:asciiTheme="minorHAnsi" w:hAnsiTheme="minorHAnsi"/>
          <w:sz w:val="24"/>
          <w:lang w:val="sr-Cyrl-BA"/>
        </w:rPr>
      </w:pPr>
      <w:bookmarkStart w:id="192" w:name="_Toc210301170"/>
      <w:r w:rsidRPr="00281D1F">
        <w:rPr>
          <w:rFonts w:asciiTheme="minorHAnsi" w:hAnsiTheme="minorHAnsi"/>
          <w:sz w:val="24"/>
          <w:lang w:val="sr-Cyrl-BA"/>
        </w:rPr>
        <w:t>Nadgledanje poslovnih aktivnosti korisnika dozvola</w:t>
      </w:r>
      <w:bookmarkEnd w:id="192"/>
    </w:p>
    <w:p w:rsidR="005A1B74" w:rsidRPr="00281D1F" w:rsidRDefault="005A1B74" w:rsidP="002D1E7C">
      <w:pPr>
        <w:jc w:val="both"/>
        <w:rPr>
          <w:rFonts w:asciiTheme="minorHAnsi" w:hAnsiTheme="minorHAnsi"/>
          <w:lang w:val="sr-Cyrl-BA"/>
        </w:rPr>
      </w:pPr>
      <w:r w:rsidRPr="00357271">
        <w:rPr>
          <w:rFonts w:asciiTheme="minorHAnsi" w:hAnsiTheme="minorHAnsi" w:cs="Calibri"/>
          <w:sz w:val="22"/>
          <w:szCs w:val="22"/>
          <w:lang w:val="sr-Cyrl-BA"/>
        </w:rPr>
        <w:t xml:space="preserve">Nadgledanje poslovnih aktivnosti korisnika dozvola obuhvata nadzorne provjere koje se obavljaju u sjedištu korisnika dozvola, a odnose se na analiziranje podataka i informacija dostavljenih kroz </w:t>
      </w:r>
      <w:r w:rsidRPr="00357271">
        <w:rPr>
          <w:rFonts w:asciiTheme="minorHAnsi" w:hAnsiTheme="minorHAnsi" w:cs="Calibri"/>
          <w:sz w:val="22"/>
          <w:szCs w:val="22"/>
          <w:lang w:val="sr-Cyrl-BA"/>
        </w:rPr>
        <w:lastRenderedPageBreak/>
        <w:t>postupak redovnog ili vanrednog izvještavanja i donošenje mjera za otklanjanje nepravilnosti u pogledu poštovanja uslova izdatih dozvola.</w:t>
      </w:r>
    </w:p>
    <w:p w:rsidR="005A1B74" w:rsidRPr="00281D1F" w:rsidRDefault="005A1B74" w:rsidP="002D1E7C">
      <w:pPr>
        <w:numPr>
          <w:ilvl w:val="0"/>
          <w:numId w:val="26"/>
        </w:numPr>
        <w:spacing w:before="240" w:after="120"/>
        <w:ind w:left="1077" w:hanging="357"/>
        <w:jc w:val="both"/>
        <w:rPr>
          <w:rFonts w:asciiTheme="minorHAnsi" w:hAnsiTheme="minorHAnsi" w:cs="Calibri"/>
          <w:i/>
          <w:sz w:val="22"/>
          <w:szCs w:val="22"/>
          <w:lang w:val="sr-Cyrl-BA"/>
        </w:rPr>
      </w:pPr>
      <w:r w:rsidRPr="00281D1F">
        <w:rPr>
          <w:rFonts w:asciiTheme="minorHAnsi" w:hAnsiTheme="minorHAnsi" w:cs="Calibri"/>
          <w:b/>
          <w:i/>
          <w:sz w:val="22"/>
          <w:szCs w:val="22"/>
          <w:lang w:val="sr-Cyrl-BA"/>
        </w:rPr>
        <w:t>Nadzorne provjere</w:t>
      </w:r>
    </w:p>
    <w:p w:rsidR="005A1B74" w:rsidRPr="00281D1F" w:rsidRDefault="005A1B74" w:rsidP="002D1E7C">
      <w:pPr>
        <w:spacing w:after="120"/>
        <w:jc w:val="both"/>
        <w:rPr>
          <w:rFonts w:asciiTheme="minorHAnsi" w:hAnsiTheme="minorHAnsi"/>
          <w:sz w:val="22"/>
          <w:szCs w:val="22"/>
          <w:lang w:val="sr-Cyrl-BA"/>
        </w:rPr>
      </w:pPr>
      <w:r w:rsidRPr="00357271">
        <w:rPr>
          <w:rFonts w:asciiTheme="minorHAnsi" w:hAnsiTheme="minorHAnsi" w:cs="Calibri"/>
          <w:sz w:val="22"/>
          <w:szCs w:val="22"/>
          <w:lang w:val="sr-Cyrl-BA"/>
        </w:rPr>
        <w:t>Nadzorne provjere u sektoru nafte i derivata nafte se obavljaju u cilju praćenja usaglašenosti rada korisnika dozvola sa uslovima izdatih dozvola te utvrđivanja nivoa provedenih mjera, shodno rješenjima sa nadzornih provjera provedenih u prethodnom periodu.</w:t>
      </w:r>
    </w:p>
    <w:p w:rsidR="005A1B74" w:rsidRPr="00281D1F" w:rsidRDefault="005A1B74" w:rsidP="002D1E7C">
      <w:pPr>
        <w:numPr>
          <w:ilvl w:val="0"/>
          <w:numId w:val="26"/>
        </w:numPr>
        <w:spacing w:before="240" w:after="120"/>
        <w:ind w:left="1077" w:hanging="357"/>
        <w:jc w:val="both"/>
        <w:rPr>
          <w:rFonts w:asciiTheme="minorHAnsi" w:hAnsiTheme="minorHAnsi" w:cs="Calibri"/>
          <w:i/>
          <w:sz w:val="22"/>
          <w:szCs w:val="22"/>
          <w:lang w:val="sr-Cyrl-BA"/>
        </w:rPr>
      </w:pPr>
      <w:r w:rsidRPr="00281D1F">
        <w:rPr>
          <w:rFonts w:asciiTheme="minorHAnsi" w:hAnsiTheme="minorHAnsi" w:cs="Calibri"/>
          <w:b/>
          <w:i/>
          <w:sz w:val="22"/>
          <w:szCs w:val="22"/>
          <w:lang w:val="sr-Cyrl-BA"/>
        </w:rPr>
        <w:t>Izvještavanje</w:t>
      </w:r>
    </w:p>
    <w:p w:rsidR="005A1B74" w:rsidRPr="00357271" w:rsidRDefault="005A1B74" w:rsidP="002D1E7C">
      <w:pPr>
        <w:shd w:val="clear" w:color="auto" w:fill="FFFFFF"/>
        <w:spacing w:before="120" w:after="120"/>
        <w:jc w:val="both"/>
        <w:rPr>
          <w:rFonts w:asciiTheme="minorHAnsi" w:hAnsiTheme="minorHAnsi" w:cs="Calibri"/>
          <w:sz w:val="22"/>
          <w:szCs w:val="22"/>
          <w:lang w:val="sr-Cyrl-BA"/>
        </w:rPr>
      </w:pPr>
      <w:bookmarkStart w:id="193" w:name="_Toc293411092"/>
      <w:bookmarkStart w:id="194" w:name="_Toc293414780"/>
      <w:bookmarkStart w:id="195" w:name="_Toc293563730"/>
      <w:bookmarkStart w:id="196" w:name="_Toc358640051"/>
      <w:bookmarkStart w:id="197" w:name="_Toc358640269"/>
      <w:bookmarkStart w:id="198" w:name="_Toc358640487"/>
      <w:bookmarkStart w:id="199" w:name="_Toc358640911"/>
      <w:r w:rsidRPr="00357271">
        <w:rPr>
          <w:rFonts w:asciiTheme="minorHAnsi" w:hAnsiTheme="minorHAnsi" w:cs="Calibri"/>
          <w:sz w:val="22"/>
          <w:szCs w:val="22"/>
          <w:lang w:val="sr-Cyrl-BA"/>
        </w:rPr>
        <w:t xml:space="preserve">Nadgledanje poslovnih aktivnosti korisnika dozvola se, osim kroz sprovođenje nadzornih provjera, vrši i kroz proces redovnog izvještavanja. Uslovima dozvola je propisana obaveza svim korisnicima dozvola u sektoru nafte i derivata nafte da, u periodu važenja dozvole, redovno izvještavaju Regulatornu komisiju. Ovo izvještavanje obuhvata dostavljanje finansijskih, tehničkih, organizacionih i drugih podataka kako je navedeno u uslovima dozvole i </w:t>
      </w:r>
      <w:r w:rsidRPr="00357271">
        <w:rPr>
          <w:rFonts w:asciiTheme="minorHAnsi" w:hAnsiTheme="minorHAnsi" w:cs="Calibri"/>
          <w:i/>
          <w:sz w:val="22"/>
          <w:szCs w:val="22"/>
          <w:lang w:val="sr-Cyrl-BA"/>
        </w:rPr>
        <w:t>Pravilniku o izvještavanju</w:t>
      </w:r>
      <w:r w:rsidRPr="00357271">
        <w:rPr>
          <w:rFonts w:asciiTheme="minorHAnsi" w:hAnsiTheme="minorHAnsi" w:cs="Calibri"/>
          <w:sz w:val="22"/>
          <w:szCs w:val="22"/>
          <w:lang w:val="sr-Cyrl-BA"/>
        </w:rPr>
        <w:t>.</w:t>
      </w:r>
    </w:p>
    <w:p w:rsidR="005A1B74" w:rsidRPr="00357271" w:rsidRDefault="005A1B74" w:rsidP="002D1E7C">
      <w:pPr>
        <w:jc w:val="both"/>
        <w:rPr>
          <w:rFonts w:ascii="Calibri" w:hAnsi="Calibri" w:cs="Calibri"/>
          <w:sz w:val="22"/>
          <w:szCs w:val="22"/>
          <w:lang w:val="sr-Cyrl-BA"/>
        </w:rPr>
      </w:pPr>
      <w:r w:rsidRPr="00357271">
        <w:rPr>
          <w:rFonts w:ascii="Calibri" w:hAnsi="Calibri" w:cs="Calibri"/>
          <w:sz w:val="22"/>
          <w:szCs w:val="22"/>
          <w:lang w:val="sr-Cyrl-BA"/>
        </w:rPr>
        <w:t xml:space="preserve">Korisnici dozvola iz sektora nafte i derivata nafte izvještavaju Regulatornu komisiju u skladu sa uslovima dozvole i Pravilnikom o izvještavanju. </w:t>
      </w:r>
    </w:p>
    <w:p w:rsidR="005A1B74" w:rsidRPr="00281D1F" w:rsidRDefault="005A1B74" w:rsidP="002D1E7C">
      <w:pPr>
        <w:pStyle w:val="Heading3"/>
        <w:numPr>
          <w:ilvl w:val="2"/>
          <w:numId w:val="32"/>
        </w:numPr>
        <w:spacing w:after="240"/>
        <w:rPr>
          <w:rFonts w:asciiTheme="minorHAnsi" w:hAnsiTheme="minorHAnsi"/>
          <w:sz w:val="24"/>
          <w:lang w:val="sr-Cyrl-BA"/>
        </w:rPr>
      </w:pPr>
      <w:bookmarkStart w:id="200" w:name="_Toc210301171"/>
      <w:r w:rsidRPr="00281D1F">
        <w:rPr>
          <w:rFonts w:asciiTheme="minorHAnsi" w:hAnsiTheme="minorHAnsi"/>
          <w:sz w:val="24"/>
          <w:lang w:val="sr-Cyrl-BA"/>
        </w:rPr>
        <w:t>Regulacija cijena i otvaranje tržišta nafte i derivata nafte</w:t>
      </w:r>
      <w:bookmarkEnd w:id="193"/>
      <w:bookmarkEnd w:id="194"/>
      <w:bookmarkEnd w:id="195"/>
      <w:bookmarkEnd w:id="196"/>
      <w:bookmarkEnd w:id="197"/>
      <w:bookmarkEnd w:id="198"/>
      <w:bookmarkEnd w:id="199"/>
      <w:bookmarkEnd w:id="200"/>
    </w:p>
    <w:p w:rsidR="005A1B74" w:rsidRPr="00281D1F" w:rsidRDefault="005A1B74" w:rsidP="002D1E7C">
      <w:pPr>
        <w:numPr>
          <w:ilvl w:val="0"/>
          <w:numId w:val="26"/>
        </w:numPr>
        <w:spacing w:before="240" w:after="120"/>
        <w:ind w:left="1077" w:hanging="357"/>
        <w:jc w:val="both"/>
        <w:rPr>
          <w:rFonts w:asciiTheme="minorHAnsi" w:hAnsiTheme="minorHAnsi" w:cs="Calibri"/>
          <w:i/>
          <w:sz w:val="22"/>
          <w:szCs w:val="22"/>
          <w:lang w:val="sr-Cyrl-BA"/>
        </w:rPr>
      </w:pPr>
      <w:r w:rsidRPr="00281D1F">
        <w:rPr>
          <w:rFonts w:asciiTheme="minorHAnsi" w:hAnsiTheme="minorHAnsi" w:cs="Calibri"/>
          <w:i/>
          <w:sz w:val="22"/>
          <w:szCs w:val="22"/>
          <w:lang w:val="sr-Cyrl-BA"/>
        </w:rPr>
        <w:t xml:space="preserve"> </w:t>
      </w:r>
      <w:r w:rsidRPr="00281D1F">
        <w:rPr>
          <w:rFonts w:asciiTheme="minorHAnsi" w:hAnsiTheme="minorHAnsi" w:cs="Calibri"/>
          <w:b/>
          <w:i/>
          <w:sz w:val="22"/>
          <w:szCs w:val="22"/>
          <w:lang w:val="sr-Cyrl-BA"/>
        </w:rPr>
        <w:t>Tarifni</w:t>
      </w:r>
      <w:r w:rsidRPr="00281D1F">
        <w:rPr>
          <w:rFonts w:asciiTheme="minorHAnsi" w:hAnsiTheme="minorHAnsi" w:cs="Calibri"/>
          <w:i/>
          <w:sz w:val="22"/>
          <w:szCs w:val="22"/>
          <w:lang w:val="sr-Cyrl-BA"/>
        </w:rPr>
        <w:t xml:space="preserve"> </w:t>
      </w:r>
      <w:r w:rsidRPr="00281D1F">
        <w:rPr>
          <w:rFonts w:asciiTheme="minorHAnsi" w:hAnsiTheme="minorHAnsi" w:cs="Calibri"/>
          <w:b/>
          <w:i/>
          <w:sz w:val="22"/>
          <w:szCs w:val="22"/>
          <w:lang w:val="sr-Cyrl-BA"/>
        </w:rPr>
        <w:t>postupci</w:t>
      </w:r>
    </w:p>
    <w:p w:rsidR="005A1B74" w:rsidRPr="00281D1F" w:rsidRDefault="005A1B74" w:rsidP="002D1E7C">
      <w:pPr>
        <w:jc w:val="both"/>
        <w:rPr>
          <w:rFonts w:asciiTheme="minorHAnsi" w:hAnsiTheme="minorHAnsi" w:cs="Calibri"/>
          <w:sz w:val="22"/>
          <w:szCs w:val="22"/>
          <w:lang w:val="sr-Cyrl-BA"/>
        </w:rPr>
      </w:pPr>
      <w:r w:rsidRPr="00281D1F">
        <w:rPr>
          <w:rFonts w:asciiTheme="minorHAnsi" w:hAnsiTheme="minorHAnsi" w:cs="Calibri"/>
          <w:sz w:val="22"/>
          <w:szCs w:val="22"/>
          <w:lang w:val="sr-Cyrl-BA"/>
        </w:rPr>
        <w:t>S obzirom da u Republici Srpskoj nemamo pravnih subjekata koji obavljaju djelatnost transporta nafte naftovodima i transporta derivata nafte produktovodima, nije ni bilo aktivnosti vezano za ove djelatnosti u 202</w:t>
      </w:r>
      <w:r>
        <w:rPr>
          <w:rFonts w:asciiTheme="minorHAnsi" w:hAnsiTheme="minorHAnsi" w:cs="Calibri"/>
          <w:sz w:val="22"/>
          <w:szCs w:val="22"/>
          <w:lang w:val="sr-Cyrl-BA"/>
        </w:rPr>
        <w:t>4</w:t>
      </w:r>
      <w:r w:rsidRPr="00281D1F">
        <w:rPr>
          <w:rFonts w:asciiTheme="minorHAnsi" w:hAnsiTheme="minorHAnsi" w:cs="Calibri"/>
          <w:sz w:val="22"/>
          <w:szCs w:val="22"/>
          <w:lang w:val="sr-Cyrl-BA"/>
        </w:rPr>
        <w:t>. godini.</w:t>
      </w:r>
    </w:p>
    <w:p w:rsidR="005A1B74" w:rsidRPr="00281D1F" w:rsidRDefault="005A1B74" w:rsidP="002D1E7C">
      <w:pPr>
        <w:numPr>
          <w:ilvl w:val="0"/>
          <w:numId w:val="26"/>
        </w:numPr>
        <w:spacing w:before="240" w:after="120"/>
        <w:ind w:left="1077" w:hanging="357"/>
        <w:jc w:val="both"/>
        <w:rPr>
          <w:rFonts w:asciiTheme="minorHAnsi" w:hAnsiTheme="minorHAnsi" w:cs="Calibri"/>
          <w:b/>
          <w:i/>
          <w:sz w:val="22"/>
          <w:szCs w:val="22"/>
          <w:lang w:val="sr-Cyrl-BA"/>
        </w:rPr>
      </w:pPr>
      <w:r w:rsidRPr="00281D1F">
        <w:rPr>
          <w:rFonts w:asciiTheme="minorHAnsi" w:hAnsiTheme="minorHAnsi" w:cs="Calibri"/>
          <w:b/>
          <w:i/>
          <w:sz w:val="22"/>
          <w:szCs w:val="22"/>
          <w:lang w:val="sr-Cyrl-BA"/>
        </w:rPr>
        <w:t xml:space="preserve"> Tržište nafte i derivata nafte</w:t>
      </w:r>
    </w:p>
    <w:p w:rsidR="005A1B74" w:rsidRPr="00F97ED7" w:rsidRDefault="005A1B74" w:rsidP="002D1E7C">
      <w:pPr>
        <w:spacing w:after="120"/>
        <w:jc w:val="both"/>
        <w:rPr>
          <w:rFonts w:asciiTheme="minorHAnsi" w:hAnsiTheme="minorHAnsi"/>
          <w:sz w:val="22"/>
          <w:szCs w:val="22"/>
          <w:lang w:val="sr-Cyrl-BA"/>
        </w:rPr>
      </w:pPr>
      <w:r w:rsidRPr="00F97ED7">
        <w:rPr>
          <w:rFonts w:asciiTheme="minorHAnsi" w:hAnsiTheme="minorHAnsi"/>
          <w:sz w:val="22"/>
          <w:szCs w:val="22"/>
          <w:lang w:val="sr-Cyrl-BA"/>
        </w:rPr>
        <w:t xml:space="preserve">Cijene derivata nafte formiraju se u skladu sa tržišnim uslovima u Republici Srpskoj, odnosno u BiH. </w:t>
      </w:r>
    </w:p>
    <w:p w:rsidR="005A1B74" w:rsidRPr="00F97ED7" w:rsidRDefault="005A1B74" w:rsidP="002D1E7C">
      <w:pPr>
        <w:spacing w:after="120"/>
        <w:jc w:val="both"/>
        <w:rPr>
          <w:rFonts w:asciiTheme="minorHAnsi" w:hAnsiTheme="minorHAnsi" w:cs="Calibri"/>
          <w:sz w:val="22"/>
          <w:szCs w:val="22"/>
          <w:lang w:val="sr-Cyrl-BA"/>
        </w:rPr>
      </w:pPr>
      <w:r w:rsidRPr="00F97ED7">
        <w:rPr>
          <w:rFonts w:asciiTheme="minorHAnsi" w:hAnsiTheme="minorHAnsi" w:cs="Calibri"/>
          <w:sz w:val="22"/>
          <w:szCs w:val="22"/>
          <w:lang w:val="sr-Cyrl-BA"/>
        </w:rPr>
        <w:t xml:space="preserve">U cilju regulacije i funkcionisanja sektora nafte i derivata nafte, Zakon o nafti i derivatima nafte propisuje da Regulatorna komisija utvrđuje metodologije za obračunavanje troškova transporta nafte naftovodima i transporta derivata nafte produktovodima, donosi tarifni sistem za obračun cijene za korišćenje naftovoda, odnosno produktovoda i odobrava cijene za korišćenje naftovoda, odnosno produktovoda. </w:t>
      </w:r>
    </w:p>
    <w:p w:rsidR="005A1B74" w:rsidRPr="00F97ED7" w:rsidRDefault="005A1B74" w:rsidP="002D1E7C">
      <w:pPr>
        <w:spacing w:after="120"/>
        <w:jc w:val="both"/>
        <w:rPr>
          <w:rFonts w:asciiTheme="minorHAnsi" w:hAnsiTheme="minorHAnsi" w:cs="Calibri"/>
          <w:sz w:val="22"/>
          <w:szCs w:val="22"/>
          <w:lang w:val="sr-Cyrl-BA"/>
        </w:rPr>
      </w:pPr>
      <w:r w:rsidRPr="00F97ED7">
        <w:rPr>
          <w:rFonts w:asciiTheme="minorHAnsi" w:hAnsiTheme="minorHAnsi" w:cs="Calibri"/>
          <w:sz w:val="22"/>
          <w:szCs w:val="22"/>
          <w:lang w:val="sr-Cyrl-BA"/>
        </w:rPr>
        <w:t xml:space="preserve">Takođe, Regulatorna komisija je nadležna da prati primjenu tarifnih sistema i metodologija za pristup i korišćenje naftovoda odnosno produktovoda. </w:t>
      </w:r>
    </w:p>
    <w:p w:rsidR="005A1B74" w:rsidRPr="00F97ED7" w:rsidRDefault="005A1B74" w:rsidP="002D1E7C">
      <w:pPr>
        <w:spacing w:after="120"/>
        <w:jc w:val="both"/>
        <w:rPr>
          <w:rFonts w:asciiTheme="minorHAnsi" w:hAnsiTheme="minorHAnsi" w:cs="Calibri"/>
          <w:sz w:val="22"/>
          <w:szCs w:val="22"/>
          <w:lang w:val="sr-Cyrl-BA"/>
        </w:rPr>
      </w:pPr>
      <w:r w:rsidRPr="00F97ED7">
        <w:rPr>
          <w:rFonts w:asciiTheme="minorHAnsi" w:hAnsiTheme="minorHAnsi" w:cs="Calibri"/>
          <w:sz w:val="22"/>
          <w:szCs w:val="22"/>
          <w:lang w:val="sr-Cyrl-BA"/>
        </w:rPr>
        <w:t>Aktivnosti Regulatorne komisije u vezi sa obavljanjem djelatnosti transporta nafte naftovodima i transporta derivata nafte produktovodima u 2024. godini nije bilo, jer nemamo pravnih subjekata koji obavljaju te poslove.</w:t>
      </w:r>
    </w:p>
    <w:p w:rsidR="005A1B74" w:rsidRPr="00F97ED7" w:rsidRDefault="005A1B74" w:rsidP="002D1E7C">
      <w:pPr>
        <w:spacing w:before="120" w:after="120"/>
        <w:jc w:val="both"/>
        <w:rPr>
          <w:rFonts w:asciiTheme="minorHAnsi" w:hAnsiTheme="minorHAnsi"/>
          <w:sz w:val="22"/>
          <w:szCs w:val="22"/>
          <w:lang w:val="sr-Cyrl-BA"/>
        </w:rPr>
      </w:pPr>
      <w:r w:rsidRPr="00F97ED7">
        <w:rPr>
          <w:rFonts w:asciiTheme="minorHAnsi" w:hAnsiTheme="minorHAnsi"/>
          <w:sz w:val="22"/>
          <w:szCs w:val="22"/>
          <w:lang w:val="sr-Cyrl-BA"/>
        </w:rPr>
        <w:t>Prilike na tržištu nisu stalne te, osim procesa potražnje i ponude, na tržište utiče tehnološki razvoj, izgradnja transportne prenosne mreže, cijene, ali i brojni neenergetski razlozi kao što su politika, terorizam, ratovi, prirodne katastrofe i špekulacije.</w:t>
      </w:r>
    </w:p>
    <w:p w:rsidR="005A1B74" w:rsidRPr="00281D1F" w:rsidRDefault="005A1B74" w:rsidP="002D1E7C">
      <w:pPr>
        <w:spacing w:before="120" w:after="120"/>
        <w:jc w:val="both"/>
        <w:rPr>
          <w:rFonts w:asciiTheme="minorHAnsi" w:hAnsiTheme="minorHAnsi"/>
          <w:sz w:val="22"/>
          <w:szCs w:val="22"/>
          <w:lang w:val="sr-Cyrl-BA"/>
        </w:rPr>
      </w:pPr>
      <w:r w:rsidRPr="00F97ED7">
        <w:rPr>
          <w:rFonts w:asciiTheme="minorHAnsi" w:hAnsiTheme="minorHAnsi"/>
          <w:sz w:val="22"/>
          <w:szCs w:val="22"/>
          <w:lang w:val="sr-Cyrl-BA"/>
        </w:rPr>
        <w:t>Posmatrano sa aspekta globalne potrošnje, nafta zauzima mjesto pojedinačno najvažnijeg primarnog goriva. Naftno tržište karakteriše proizvodnja sirove nafte s jedne strane i rafinerijska prerada odnosno potrošnja naftnih derivata s druge strane. Glavna tržišta sirove nafte u svijetu obuhvataju Rusku Federaciju, Sjeverno more, Zapadnu Afriku, tržište Mediterana, Perzijski zaliv, Azijsku regiju te istočnu i zapadnu obalu SAD-a.</w:t>
      </w:r>
    </w:p>
    <w:p w:rsidR="005A1B74" w:rsidRPr="00281D1F" w:rsidRDefault="005A1B74" w:rsidP="002D1E7C">
      <w:pPr>
        <w:pStyle w:val="Heading3"/>
        <w:numPr>
          <w:ilvl w:val="2"/>
          <w:numId w:val="32"/>
        </w:numPr>
        <w:spacing w:after="240"/>
        <w:rPr>
          <w:rFonts w:asciiTheme="minorHAnsi" w:hAnsiTheme="minorHAnsi"/>
          <w:sz w:val="24"/>
          <w:lang w:val="sr-Cyrl-BA"/>
        </w:rPr>
      </w:pPr>
      <w:bookmarkStart w:id="201" w:name="_Toc76023241"/>
      <w:bookmarkStart w:id="202" w:name="_Toc76023242"/>
      <w:bookmarkStart w:id="203" w:name="_Toc76023243"/>
      <w:bookmarkStart w:id="204" w:name="_Toc293411093"/>
      <w:bookmarkStart w:id="205" w:name="_Toc293414781"/>
      <w:bookmarkStart w:id="206" w:name="_Toc293563731"/>
      <w:bookmarkStart w:id="207" w:name="_Toc358640052"/>
      <w:bookmarkStart w:id="208" w:name="_Toc358640270"/>
      <w:bookmarkStart w:id="209" w:name="_Toc358640488"/>
      <w:bookmarkStart w:id="210" w:name="_Toc358640912"/>
      <w:bookmarkStart w:id="211" w:name="_Toc210301172"/>
      <w:bookmarkEnd w:id="201"/>
      <w:bookmarkEnd w:id="202"/>
      <w:bookmarkEnd w:id="203"/>
      <w:r w:rsidRPr="00281D1F">
        <w:rPr>
          <w:rFonts w:asciiTheme="minorHAnsi" w:hAnsiTheme="minorHAnsi"/>
          <w:sz w:val="24"/>
          <w:lang w:val="sr-Cyrl-BA"/>
        </w:rPr>
        <w:lastRenderedPageBreak/>
        <w:t>Zaštita kupaca</w:t>
      </w:r>
      <w:bookmarkEnd w:id="204"/>
      <w:bookmarkEnd w:id="205"/>
      <w:bookmarkEnd w:id="206"/>
      <w:bookmarkEnd w:id="207"/>
      <w:bookmarkEnd w:id="208"/>
      <w:bookmarkEnd w:id="209"/>
      <w:bookmarkEnd w:id="210"/>
      <w:r w:rsidRPr="00281D1F">
        <w:rPr>
          <w:rFonts w:asciiTheme="minorHAnsi" w:hAnsiTheme="minorHAnsi"/>
          <w:sz w:val="24"/>
          <w:lang w:val="sr-Cyrl-BA"/>
        </w:rPr>
        <w:t xml:space="preserve"> u sektoru nafte i derivata nafte</w:t>
      </w:r>
      <w:bookmarkEnd w:id="211"/>
    </w:p>
    <w:p w:rsidR="005A1B74" w:rsidRPr="00F97ED7" w:rsidRDefault="005A1B74" w:rsidP="002D1E7C">
      <w:pPr>
        <w:spacing w:before="120" w:after="120"/>
        <w:jc w:val="both"/>
        <w:rPr>
          <w:rFonts w:asciiTheme="minorHAnsi" w:hAnsiTheme="minorHAnsi" w:cs="Calibri"/>
          <w:sz w:val="22"/>
          <w:szCs w:val="22"/>
          <w:lang w:val="sr-Cyrl-BA"/>
        </w:rPr>
      </w:pPr>
      <w:r w:rsidRPr="00F97ED7">
        <w:rPr>
          <w:rFonts w:asciiTheme="minorHAnsi" w:hAnsiTheme="minorHAnsi" w:cs="Calibri"/>
          <w:sz w:val="22"/>
          <w:szCs w:val="22"/>
          <w:lang w:val="sr-Cyrl-BA"/>
        </w:rPr>
        <w:t>Na osnovu odredbe člana 9. tačka d) Zakona o nafti i derivatima nafte, propisano je da je Regulatorna komisija nadležna da rješava žalbe u drugom stepenu na pristup.</w:t>
      </w:r>
    </w:p>
    <w:p w:rsidR="005A1B74" w:rsidRPr="00281D1F" w:rsidRDefault="005A1B74" w:rsidP="002D1E7C">
      <w:pPr>
        <w:spacing w:before="120" w:after="120"/>
        <w:jc w:val="both"/>
        <w:rPr>
          <w:rFonts w:asciiTheme="minorHAnsi" w:hAnsiTheme="minorHAnsi" w:cs="Calibri"/>
          <w:sz w:val="22"/>
          <w:szCs w:val="22"/>
          <w:lang w:val="sr-Cyrl-BA"/>
        </w:rPr>
      </w:pPr>
      <w:r w:rsidRPr="00F97ED7">
        <w:rPr>
          <w:rFonts w:asciiTheme="minorHAnsi" w:hAnsiTheme="minorHAnsi" w:cs="Calibri"/>
          <w:sz w:val="22"/>
          <w:szCs w:val="22"/>
          <w:lang w:val="sr-Cyrl-BA"/>
        </w:rPr>
        <w:t>U toku 2024. godine, nije bilo podnesenih žalbi iz sektora nafte i derivata nafte u smislu odredbe člana 9. stav 2. tačka d) Zakona o nafti i derivatima nafte.</w:t>
      </w:r>
    </w:p>
    <w:p w:rsidR="005A1B74" w:rsidRPr="00281D1F" w:rsidRDefault="005A1B74" w:rsidP="002D1E7C">
      <w:pPr>
        <w:pStyle w:val="Heading3"/>
        <w:numPr>
          <w:ilvl w:val="1"/>
          <w:numId w:val="32"/>
        </w:numPr>
        <w:spacing w:after="240"/>
        <w:jc w:val="both"/>
        <w:rPr>
          <w:rFonts w:asciiTheme="minorHAnsi" w:hAnsiTheme="minorHAnsi" w:cs="Calibri"/>
          <w:lang w:val="sr-Cyrl-BA"/>
        </w:rPr>
      </w:pPr>
      <w:bookmarkStart w:id="212" w:name="_Toc230868154"/>
      <w:bookmarkStart w:id="213" w:name="_Toc293411094"/>
      <w:bookmarkStart w:id="214" w:name="_Toc293414782"/>
      <w:bookmarkStart w:id="215" w:name="_Toc293563732"/>
      <w:bookmarkStart w:id="216" w:name="_Toc358640053"/>
      <w:bookmarkStart w:id="217" w:name="_Toc358640271"/>
      <w:bookmarkStart w:id="218" w:name="_Toc358640489"/>
      <w:bookmarkStart w:id="219" w:name="_Toc358640913"/>
      <w:bookmarkStart w:id="220" w:name="_Toc210301173"/>
      <w:r w:rsidRPr="00281D1F">
        <w:rPr>
          <w:rFonts w:asciiTheme="minorHAnsi" w:hAnsiTheme="minorHAnsi" w:cs="Calibri"/>
          <w:lang w:val="sr-Cyrl-BA"/>
        </w:rPr>
        <w:t>Saradnja</w:t>
      </w:r>
      <w:bookmarkEnd w:id="212"/>
      <w:bookmarkEnd w:id="213"/>
      <w:bookmarkEnd w:id="214"/>
      <w:bookmarkEnd w:id="215"/>
      <w:bookmarkEnd w:id="216"/>
      <w:bookmarkEnd w:id="217"/>
      <w:bookmarkEnd w:id="218"/>
      <w:bookmarkEnd w:id="219"/>
      <w:bookmarkEnd w:id="220"/>
    </w:p>
    <w:p w:rsidR="005A1B74" w:rsidRPr="00281D1F" w:rsidRDefault="005A1B74" w:rsidP="002D1E7C">
      <w:pPr>
        <w:pStyle w:val="Heading3"/>
        <w:numPr>
          <w:ilvl w:val="2"/>
          <w:numId w:val="32"/>
        </w:numPr>
        <w:spacing w:after="240"/>
        <w:rPr>
          <w:rFonts w:asciiTheme="minorHAnsi" w:hAnsiTheme="minorHAnsi"/>
          <w:sz w:val="24"/>
          <w:lang w:val="sr-Cyrl-BA"/>
        </w:rPr>
      </w:pPr>
      <w:bookmarkStart w:id="221" w:name="_Toc230868155"/>
      <w:bookmarkStart w:id="222" w:name="_Toc293411095"/>
      <w:bookmarkStart w:id="223" w:name="_Toc293414783"/>
      <w:bookmarkStart w:id="224" w:name="_Toc293563733"/>
      <w:bookmarkStart w:id="225" w:name="_Toc358640054"/>
      <w:bookmarkStart w:id="226" w:name="_Toc358640272"/>
      <w:bookmarkStart w:id="227" w:name="_Toc358640490"/>
      <w:bookmarkStart w:id="228" w:name="_Toc358640914"/>
      <w:bookmarkStart w:id="229" w:name="_Toc210301174"/>
      <w:r w:rsidRPr="00281D1F">
        <w:rPr>
          <w:rFonts w:asciiTheme="minorHAnsi" w:hAnsiTheme="minorHAnsi"/>
          <w:sz w:val="24"/>
          <w:lang w:val="sr-Cyrl-BA"/>
        </w:rPr>
        <w:t>Energetska zajednica</w:t>
      </w:r>
      <w:bookmarkEnd w:id="221"/>
      <w:bookmarkEnd w:id="222"/>
      <w:bookmarkEnd w:id="223"/>
      <w:bookmarkEnd w:id="224"/>
      <w:bookmarkEnd w:id="225"/>
      <w:bookmarkEnd w:id="226"/>
      <w:bookmarkEnd w:id="227"/>
      <w:bookmarkEnd w:id="228"/>
      <w:bookmarkEnd w:id="229"/>
    </w:p>
    <w:p w:rsidR="005A1B74" w:rsidRPr="00281D1F" w:rsidRDefault="005A1B74" w:rsidP="002D1E7C">
      <w:pPr>
        <w:spacing w:before="120" w:after="120"/>
        <w:jc w:val="both"/>
        <w:rPr>
          <w:rFonts w:asciiTheme="minorHAnsi" w:hAnsiTheme="minorHAnsi"/>
          <w:sz w:val="22"/>
          <w:szCs w:val="22"/>
          <w:lang w:val="sr-Cyrl-BA"/>
        </w:rPr>
      </w:pPr>
      <w:r w:rsidRPr="00281D1F">
        <w:rPr>
          <w:rFonts w:asciiTheme="minorHAnsi" w:hAnsiTheme="minorHAnsi"/>
          <w:sz w:val="22"/>
          <w:szCs w:val="22"/>
          <w:lang w:val="sr-Cyrl-BA"/>
        </w:rPr>
        <w:t>Ugovor o uspostavljanju Energetske zajednice, koji je potpisan 25. oktobra 2005. godine i stupio na snagu 1. jula 2006. godine, omogućava stvaranje najvećeg internog tržišta za električnu energiju i gas na svijetu, u kojem, trenutno, efektivno učestvuju Evropska unija s jedne strane i sljedećih devet Ugovornih strana: Albanija, Bosna i Hercegovina, Crna Gora, Gruzija Kosovo, Moldavija, Sjeverna Makedonija, Srbija, Ukrajina</w:t>
      </w:r>
      <w:r>
        <w:rPr>
          <w:rStyle w:val="FootnoteReference"/>
          <w:rFonts w:asciiTheme="minorHAnsi" w:hAnsiTheme="minorHAnsi"/>
          <w:sz w:val="22"/>
          <w:szCs w:val="22"/>
          <w:lang w:val="sr-Cyrl-BA"/>
        </w:rPr>
        <w:footnoteReference w:id="2"/>
      </w:r>
      <w:r w:rsidRPr="00281D1F">
        <w:rPr>
          <w:rFonts w:asciiTheme="minorHAnsi" w:hAnsiTheme="minorHAnsi"/>
          <w:sz w:val="22"/>
          <w:szCs w:val="22"/>
          <w:lang w:val="sr-Cyrl-BA"/>
        </w:rPr>
        <w:t xml:space="preserve">. </w:t>
      </w:r>
    </w:p>
    <w:p w:rsidR="005A1B74" w:rsidRPr="00281D1F" w:rsidRDefault="005A1B74" w:rsidP="002D1E7C">
      <w:pPr>
        <w:spacing w:before="120" w:after="120"/>
        <w:jc w:val="both"/>
        <w:rPr>
          <w:rFonts w:asciiTheme="minorHAnsi" w:hAnsiTheme="minorHAnsi"/>
          <w:sz w:val="22"/>
          <w:szCs w:val="22"/>
          <w:lang w:val="sr-Cyrl-BA"/>
        </w:rPr>
      </w:pPr>
      <w:r w:rsidRPr="00281D1F">
        <w:rPr>
          <w:rFonts w:asciiTheme="minorHAnsi" w:hAnsiTheme="minorHAnsi"/>
          <w:sz w:val="22"/>
          <w:szCs w:val="22"/>
          <w:lang w:val="sr-Cyrl-BA"/>
        </w:rPr>
        <w:t xml:space="preserve">Potpisivanjem Ugovora o uspostavljanju Energetske zajednice, </w:t>
      </w:r>
      <w:r>
        <w:rPr>
          <w:rFonts w:asciiTheme="minorHAnsi" w:hAnsiTheme="minorHAnsi"/>
          <w:sz w:val="22"/>
          <w:szCs w:val="22"/>
          <w:lang w:val="sr-Cyrl-BA"/>
        </w:rPr>
        <w:t>Ugovorne strane iz regije se obavezuju da između sebe uspostave zajedničko tržište električne energije i gasa koje će funkcionisati po standardima tržišta energije EU-a s kojim će se integrisati. To se postiže preuzimanjem dijela pravne stečevine EU-a, odnosno sprovođenjem odgovarajućih uredbi i direktiva EU-a u područjima električne energije, gasa, sigurnosti snabdijevanja, nafte, zaštite okoline, obnovljivih izvora, energetske efikasnosti, infrastrukture, konkurencije i statistike.</w:t>
      </w:r>
      <w:r w:rsidRPr="00281D1F">
        <w:rPr>
          <w:rFonts w:asciiTheme="minorHAnsi" w:hAnsiTheme="minorHAnsi"/>
          <w:sz w:val="22"/>
          <w:szCs w:val="22"/>
          <w:lang w:val="sr-Cyrl-BA"/>
        </w:rPr>
        <w:t xml:space="preserve"> </w:t>
      </w:r>
    </w:p>
    <w:p w:rsidR="005A1B74" w:rsidRPr="00281D1F" w:rsidRDefault="005A1B74" w:rsidP="002D1E7C">
      <w:pPr>
        <w:spacing w:before="120" w:after="120"/>
        <w:jc w:val="both"/>
        <w:rPr>
          <w:rFonts w:asciiTheme="minorHAnsi" w:hAnsiTheme="minorHAnsi"/>
          <w:sz w:val="22"/>
          <w:szCs w:val="22"/>
          <w:lang w:val="sr-Cyrl-BA"/>
        </w:rPr>
      </w:pPr>
      <w:r w:rsidRPr="00281D1F">
        <w:rPr>
          <w:rFonts w:asciiTheme="minorHAnsi" w:hAnsiTheme="minorHAnsi"/>
          <w:sz w:val="22"/>
          <w:szCs w:val="22"/>
          <w:lang w:val="sr-Cyrl-BA"/>
        </w:rPr>
        <w:t>Osnovni ciljevi Energetske zajednice su stvaranje stabilnog</w:t>
      </w:r>
      <w:r>
        <w:rPr>
          <w:rFonts w:asciiTheme="minorHAnsi" w:hAnsiTheme="minorHAnsi"/>
          <w:sz w:val="22"/>
          <w:szCs w:val="22"/>
          <w:lang w:val="sr-Cyrl-BA"/>
        </w:rPr>
        <w:t xml:space="preserve"> i</w:t>
      </w:r>
      <w:r w:rsidRPr="00281D1F">
        <w:rPr>
          <w:rFonts w:asciiTheme="minorHAnsi" w:hAnsiTheme="minorHAnsi"/>
          <w:sz w:val="22"/>
          <w:szCs w:val="22"/>
          <w:lang w:val="sr-Cyrl-BA"/>
        </w:rPr>
        <w:t xml:space="preserve"> jedinstvenog regulatornog i tržišnog </w:t>
      </w:r>
      <w:r>
        <w:rPr>
          <w:rFonts w:asciiTheme="minorHAnsi" w:hAnsiTheme="minorHAnsi"/>
          <w:sz w:val="22"/>
          <w:szCs w:val="22"/>
          <w:lang w:val="sr-Cyrl-BA"/>
        </w:rPr>
        <w:t>prostor</w:t>
      </w:r>
      <w:r w:rsidRPr="00281D1F">
        <w:rPr>
          <w:rFonts w:asciiTheme="minorHAnsi" w:hAnsiTheme="minorHAnsi"/>
          <w:sz w:val="22"/>
          <w:szCs w:val="22"/>
          <w:lang w:val="sr-Cyrl-BA"/>
        </w:rPr>
        <w:t xml:space="preserve">a, koji obezbjeđuje pouzdano snabdijevanje </w:t>
      </w:r>
      <w:r>
        <w:rPr>
          <w:rFonts w:asciiTheme="minorHAnsi" w:hAnsiTheme="minorHAnsi"/>
          <w:sz w:val="22"/>
          <w:szCs w:val="22"/>
          <w:lang w:val="sr-Cyrl-BA"/>
        </w:rPr>
        <w:t>energijom</w:t>
      </w:r>
      <w:r w:rsidRPr="00281D1F">
        <w:rPr>
          <w:rFonts w:asciiTheme="minorHAnsi" w:hAnsiTheme="minorHAnsi"/>
          <w:sz w:val="22"/>
          <w:szCs w:val="22"/>
          <w:lang w:val="sr-Cyrl-BA"/>
        </w:rPr>
        <w:t xml:space="preserve"> i može privući investicije u sektore električne energije i prirodnog gasa</w:t>
      </w:r>
      <w:r>
        <w:rPr>
          <w:rFonts w:asciiTheme="minorHAnsi" w:hAnsiTheme="minorHAnsi"/>
          <w:sz w:val="22"/>
          <w:szCs w:val="22"/>
          <w:lang w:val="sr-Cyrl-BA"/>
        </w:rPr>
        <w:t>.</w:t>
      </w:r>
      <w:r w:rsidRPr="00281D1F">
        <w:rPr>
          <w:rFonts w:asciiTheme="minorHAnsi" w:hAnsiTheme="minorHAnsi"/>
          <w:sz w:val="22"/>
          <w:szCs w:val="22"/>
          <w:lang w:val="sr-Cyrl-BA"/>
        </w:rPr>
        <w:t xml:space="preserve"> Pored toga, to je razvoj alternativnih pravaca snabdijevanja gasom i poboljšanja stanja u životnoj sredini, uz primjenu energetske efikasnosti i korišćenje obnovljivih izvora energije.</w:t>
      </w:r>
    </w:p>
    <w:p w:rsidR="005A1B74" w:rsidRDefault="005A1B74" w:rsidP="002D1E7C">
      <w:pPr>
        <w:spacing w:before="120" w:after="120"/>
        <w:jc w:val="both"/>
        <w:rPr>
          <w:rFonts w:asciiTheme="minorHAnsi" w:hAnsiTheme="minorHAnsi"/>
          <w:sz w:val="22"/>
          <w:szCs w:val="22"/>
          <w:lang w:val="sr-Cyrl-BA"/>
        </w:rPr>
      </w:pPr>
      <w:r>
        <w:rPr>
          <w:rFonts w:asciiTheme="minorHAnsi" w:hAnsiTheme="minorHAnsi"/>
          <w:sz w:val="22"/>
          <w:szCs w:val="22"/>
          <w:lang w:val="sr-Cyrl-BA"/>
        </w:rPr>
        <w:t>Ministarski savjet, kao najviše tijelo, osigurava postizanje ciljeva Energetske zajednice. Čine ga po jedan predstavnik svake Ugovorne strane i dva predstavnika Evropske unije.</w:t>
      </w:r>
    </w:p>
    <w:p w:rsidR="005A1B74" w:rsidRDefault="005A1B74" w:rsidP="002D1E7C">
      <w:pPr>
        <w:spacing w:before="120" w:after="120"/>
        <w:jc w:val="both"/>
        <w:rPr>
          <w:rFonts w:asciiTheme="minorHAnsi" w:hAnsiTheme="minorHAnsi"/>
          <w:sz w:val="22"/>
          <w:szCs w:val="22"/>
          <w:lang w:val="sr-Cyrl-RS"/>
        </w:rPr>
      </w:pPr>
      <w:r>
        <w:rPr>
          <w:rFonts w:asciiTheme="minorHAnsi" w:hAnsiTheme="minorHAnsi"/>
          <w:sz w:val="22"/>
          <w:szCs w:val="22"/>
          <w:lang w:val="sr-Cyrl-RS"/>
        </w:rPr>
        <w:t xml:space="preserve">Stalna grupa na visokom nivou </w:t>
      </w:r>
      <w:r>
        <w:rPr>
          <w:rFonts w:asciiTheme="minorHAnsi" w:hAnsiTheme="minorHAnsi"/>
          <w:sz w:val="22"/>
          <w:szCs w:val="22"/>
          <w:lang w:val="sr-Latn-BA"/>
        </w:rPr>
        <w:t>(PHLG)</w:t>
      </w:r>
      <w:r>
        <w:rPr>
          <w:rFonts w:asciiTheme="minorHAnsi" w:hAnsiTheme="minorHAnsi"/>
          <w:sz w:val="22"/>
          <w:szCs w:val="22"/>
          <w:lang w:val="sr-Cyrl-RS"/>
        </w:rPr>
        <w:t>, koja okuplja visoke zvaničnike Ugovornih strana i dva predstavnika Evropske komisije, obezbjeđuje kontinuitet sastanaka Ministarskog savjeta i sprovođenje dogovorenih aktivnosti te odlučuje o sprovođenju mjera u određenim oblastima.</w:t>
      </w:r>
    </w:p>
    <w:p w:rsidR="005A1B74" w:rsidRDefault="005A1B74" w:rsidP="002D1E7C">
      <w:pPr>
        <w:spacing w:before="120" w:after="120"/>
        <w:jc w:val="both"/>
        <w:rPr>
          <w:rFonts w:asciiTheme="minorHAnsi" w:hAnsiTheme="minorHAnsi"/>
          <w:sz w:val="22"/>
          <w:szCs w:val="22"/>
          <w:lang w:val="sr-Cyrl-RS"/>
        </w:rPr>
      </w:pPr>
      <w:r>
        <w:rPr>
          <w:rFonts w:asciiTheme="minorHAnsi" w:hAnsiTheme="minorHAnsi"/>
          <w:sz w:val="22"/>
          <w:szCs w:val="22"/>
          <w:lang w:val="sr-Cyrl-RS"/>
        </w:rPr>
        <w:t>Regulatorni odbor Energetske zajednice</w:t>
      </w:r>
      <w:r>
        <w:rPr>
          <w:rFonts w:asciiTheme="minorHAnsi" w:hAnsiTheme="minorHAnsi"/>
          <w:sz w:val="22"/>
          <w:szCs w:val="22"/>
          <w:lang w:val="sr-Latn-BA"/>
        </w:rPr>
        <w:t xml:space="preserve"> (ECRB)</w:t>
      </w:r>
      <w:r>
        <w:rPr>
          <w:rFonts w:asciiTheme="minorHAnsi" w:hAnsiTheme="minorHAnsi"/>
          <w:sz w:val="22"/>
          <w:szCs w:val="22"/>
          <w:lang w:val="sr-Cyrl-RS"/>
        </w:rPr>
        <w:t>, sa sjedištem u Atini, čine predstavnici državnih regulatornih tijela zemalja regije, a Evropsku uniju predstavlja Evropska komisija, uz pomoć po jednog regulatora iz zemalja učesnica iz EU-a, te jednog predstavnika Agencije za saradnju energetskih regulatora (</w:t>
      </w:r>
      <w:r>
        <w:rPr>
          <w:rFonts w:asciiTheme="minorHAnsi" w:hAnsiTheme="minorHAnsi"/>
          <w:sz w:val="22"/>
          <w:szCs w:val="22"/>
          <w:lang w:val="sr-Latn-BA"/>
        </w:rPr>
        <w:t>ACER</w:t>
      </w:r>
      <w:r>
        <w:rPr>
          <w:rFonts w:asciiTheme="minorHAnsi" w:hAnsiTheme="minorHAnsi"/>
          <w:sz w:val="22"/>
          <w:szCs w:val="22"/>
          <w:lang w:val="sr-Cyrl-RS"/>
        </w:rPr>
        <w:t xml:space="preserve">). </w:t>
      </w:r>
      <w:r>
        <w:rPr>
          <w:rFonts w:asciiTheme="minorHAnsi" w:hAnsiTheme="minorHAnsi"/>
          <w:sz w:val="22"/>
          <w:szCs w:val="22"/>
          <w:lang w:val="sr-Latn-BA"/>
        </w:rPr>
        <w:t>ECRB</w:t>
      </w:r>
      <w:r>
        <w:rPr>
          <w:rFonts w:asciiTheme="minorHAnsi" w:hAnsiTheme="minorHAnsi"/>
          <w:sz w:val="22"/>
          <w:szCs w:val="22"/>
          <w:lang w:val="sr-Cyrl-RS"/>
        </w:rPr>
        <w:t xml:space="preserve"> razmatra pitanja regulatorne saradnje i može prerasti u tijelo koje donosi regionalne regulatorne odluke i služi kao institucija za rješavanje sporova. Regulatorni odbor ima glavnu ulogu u radu proširenog tržišta.</w:t>
      </w:r>
    </w:p>
    <w:p w:rsidR="005A1B74" w:rsidRDefault="005A1B74" w:rsidP="002D1E7C">
      <w:pPr>
        <w:spacing w:before="120" w:after="120"/>
        <w:jc w:val="both"/>
        <w:rPr>
          <w:rFonts w:asciiTheme="minorHAnsi" w:hAnsiTheme="minorHAnsi"/>
          <w:sz w:val="22"/>
          <w:szCs w:val="22"/>
          <w:lang w:val="sr-Cyrl-RS"/>
        </w:rPr>
      </w:pPr>
      <w:r>
        <w:rPr>
          <w:rFonts w:asciiTheme="minorHAnsi" w:hAnsiTheme="minorHAnsi"/>
          <w:sz w:val="22"/>
          <w:szCs w:val="22"/>
          <w:lang w:val="sr-Cyrl-RS"/>
        </w:rPr>
        <w:t>Forumi Energetske zajednice okupljaju sve zainteresovane aktere – predstavnike vlada, regulatora, kompnija, kupaca, međunarodnih finansijskih institucija i dr.</w:t>
      </w:r>
    </w:p>
    <w:p w:rsidR="005A1B74" w:rsidRDefault="005A1B74" w:rsidP="002D1E7C">
      <w:pPr>
        <w:spacing w:before="120" w:after="120"/>
        <w:jc w:val="both"/>
        <w:rPr>
          <w:rFonts w:asciiTheme="minorHAnsi" w:hAnsiTheme="minorHAnsi"/>
          <w:sz w:val="22"/>
          <w:szCs w:val="22"/>
          <w:lang w:val="sr-Cyrl-RS"/>
        </w:rPr>
      </w:pPr>
      <w:r>
        <w:rPr>
          <w:rFonts w:asciiTheme="minorHAnsi" w:hAnsiTheme="minorHAnsi"/>
          <w:sz w:val="22"/>
          <w:szCs w:val="22"/>
          <w:lang w:val="sr-Cyrl-RS"/>
        </w:rPr>
        <w:t>Sekretarijat Energetske zajednice sa sjedištem u Beču, predstavlja ključni administrativni faktor i s Evropskom komisijom obezbjeđuje neophodnu saradnju i pruža podršku za rad drugih institucija. Sekretarijat je odgovoran za nadgledanje odgovarajućeg ispunjenja obaveza Ugovornih strana i podnosi godišnji izvještaj o napretku Ministarskom savjetu. Sekretarijat djeluje kao „čuvar“ Ugovora, dok Evropska komisija ima ulogu generalnog koordinatora.</w:t>
      </w:r>
    </w:p>
    <w:p w:rsidR="005A1B74" w:rsidRDefault="005A1B74" w:rsidP="002D1E7C">
      <w:pPr>
        <w:spacing w:before="120" w:after="120"/>
        <w:jc w:val="both"/>
        <w:rPr>
          <w:rFonts w:asciiTheme="minorHAnsi" w:hAnsiTheme="minorHAnsi"/>
          <w:sz w:val="22"/>
          <w:szCs w:val="22"/>
          <w:lang w:val="sr-Cyrl-RS"/>
        </w:rPr>
      </w:pPr>
      <w:r>
        <w:rPr>
          <w:rFonts w:asciiTheme="minorHAnsi" w:hAnsiTheme="minorHAnsi"/>
          <w:sz w:val="22"/>
          <w:szCs w:val="22"/>
          <w:lang w:val="sr-Cyrl-RS"/>
        </w:rPr>
        <w:lastRenderedPageBreak/>
        <w:t>U proteklom periodu, Energetska zajednica je izrasla u organizaciju koja osigurava čvrst institucionalni okvir za saradnju, međusobnu podršku i razmjenu iskustava, te služi kao model za regionalnu saradnju u vezi energetskih pitanja.</w:t>
      </w:r>
    </w:p>
    <w:p w:rsidR="005A1B74" w:rsidRDefault="005A1B74" w:rsidP="002D1E7C">
      <w:pPr>
        <w:spacing w:before="120" w:after="120"/>
        <w:jc w:val="both"/>
        <w:rPr>
          <w:rFonts w:asciiTheme="minorHAnsi" w:hAnsiTheme="minorHAnsi"/>
          <w:sz w:val="22"/>
          <w:szCs w:val="22"/>
          <w:lang w:val="sr-Cyrl-RS"/>
        </w:rPr>
      </w:pPr>
      <w:r>
        <w:rPr>
          <w:rFonts w:asciiTheme="minorHAnsi" w:hAnsiTheme="minorHAnsi"/>
          <w:sz w:val="22"/>
          <w:szCs w:val="22"/>
          <w:lang w:val="sr-Cyrl-RS"/>
        </w:rPr>
        <w:t>Ministarski savjet Energetske zajednice održao je sastanak 12. decembra 2024. godine. Tom prilikom je, u skladu sa prilagođenom Uredbom (EU) 2022/869 o smjernicama za transevropsku energetsku infrastrukturu, usvojena Lista projekata od interesa Energetske zajednice (</w:t>
      </w:r>
      <w:r>
        <w:rPr>
          <w:rFonts w:asciiTheme="minorHAnsi" w:hAnsiTheme="minorHAnsi"/>
          <w:sz w:val="22"/>
          <w:szCs w:val="22"/>
          <w:lang w:val="sr-Latn-BA"/>
        </w:rPr>
        <w:t>PECI</w:t>
      </w:r>
      <w:r>
        <w:rPr>
          <w:rFonts w:asciiTheme="minorHAnsi" w:hAnsiTheme="minorHAnsi"/>
          <w:sz w:val="22"/>
          <w:szCs w:val="22"/>
          <w:lang w:val="sr-Cyrl-RS"/>
        </w:rPr>
        <w:t>). Time je zaključen rigorozan proces u kojem je naglasak stavljen na podsticanje integracije tržišta, konkurentnosti, sigurnosti snabdijevanja i ciljeva klimatske neutralnosti. Identifikovani prioritetni projekti omogućavaju značajna poboljšanja infrastrukture, promovišu regionalnu integraciju i privlače daljnje investicije. Na ovoj listi dva, od ukupno šest projekata, uključuju investicije u Bosni i Hercegovini:</w:t>
      </w:r>
    </w:p>
    <w:p w:rsidR="005A1B74" w:rsidRDefault="005A1B74" w:rsidP="002D1E7C">
      <w:pPr>
        <w:pStyle w:val="ListParagraph"/>
        <w:numPr>
          <w:ilvl w:val="0"/>
          <w:numId w:val="28"/>
        </w:numPr>
        <w:spacing w:before="120" w:after="120"/>
        <w:jc w:val="both"/>
        <w:rPr>
          <w:rFonts w:asciiTheme="minorHAnsi" w:hAnsiTheme="minorHAnsi"/>
          <w:sz w:val="22"/>
          <w:szCs w:val="22"/>
          <w:lang w:val="sr-Cyrl-RS"/>
        </w:rPr>
      </w:pPr>
      <w:r>
        <w:rPr>
          <w:rFonts w:asciiTheme="minorHAnsi" w:hAnsiTheme="minorHAnsi"/>
          <w:sz w:val="22"/>
          <w:szCs w:val="22"/>
          <w:lang w:val="sr-Cyrl-RS"/>
        </w:rPr>
        <w:t xml:space="preserve">Povećanje kapaciteta postojeće 200 </w:t>
      </w:r>
      <w:r>
        <w:rPr>
          <w:rFonts w:asciiTheme="minorHAnsi" w:hAnsiTheme="minorHAnsi"/>
          <w:sz w:val="22"/>
          <w:szCs w:val="22"/>
          <w:lang w:val="sr-Latn-BA"/>
        </w:rPr>
        <w:t>kV</w:t>
      </w:r>
      <w:r>
        <w:rPr>
          <w:rFonts w:asciiTheme="minorHAnsi" w:hAnsiTheme="minorHAnsi"/>
          <w:sz w:val="22"/>
          <w:szCs w:val="22"/>
          <w:lang w:val="sr-Cyrl-RS"/>
        </w:rPr>
        <w:t xml:space="preserve"> interkonekcije između Bosne i Hercegovine i Crne Gore, dalekovod </w:t>
      </w:r>
      <w:r>
        <w:rPr>
          <w:rFonts w:asciiTheme="minorHAnsi" w:hAnsiTheme="minorHAnsi"/>
          <w:sz w:val="22"/>
          <w:szCs w:val="22"/>
          <w:lang w:val="sr-Latn-BA"/>
        </w:rPr>
        <w:t>DV</w:t>
      </w:r>
      <w:r>
        <w:rPr>
          <w:rFonts w:asciiTheme="minorHAnsi" w:hAnsiTheme="minorHAnsi"/>
          <w:sz w:val="22"/>
          <w:szCs w:val="22"/>
          <w:lang w:val="sr-Cyrl-RS"/>
        </w:rPr>
        <w:t xml:space="preserve"> 220 </w:t>
      </w:r>
      <w:r>
        <w:rPr>
          <w:rFonts w:asciiTheme="minorHAnsi" w:hAnsiTheme="minorHAnsi"/>
          <w:sz w:val="22"/>
          <w:szCs w:val="22"/>
          <w:lang w:val="sr-Latn-BA"/>
        </w:rPr>
        <w:t>kV</w:t>
      </w:r>
      <w:r>
        <w:rPr>
          <w:rFonts w:asciiTheme="minorHAnsi" w:hAnsiTheme="minorHAnsi"/>
          <w:sz w:val="22"/>
          <w:szCs w:val="22"/>
          <w:lang w:val="sr-Cyrl-RS"/>
        </w:rPr>
        <w:t xml:space="preserve"> Trebinje – Perućica i</w:t>
      </w:r>
    </w:p>
    <w:p w:rsidR="005A1B74" w:rsidRDefault="005A1B74" w:rsidP="002D1E7C">
      <w:pPr>
        <w:pStyle w:val="ListParagraph"/>
        <w:numPr>
          <w:ilvl w:val="0"/>
          <w:numId w:val="28"/>
        </w:numPr>
        <w:spacing w:before="120" w:after="120"/>
        <w:jc w:val="both"/>
        <w:rPr>
          <w:rFonts w:asciiTheme="minorHAnsi" w:hAnsiTheme="minorHAnsi"/>
          <w:sz w:val="22"/>
          <w:szCs w:val="22"/>
          <w:lang w:val="sr-Cyrl-RS"/>
        </w:rPr>
      </w:pPr>
      <w:r>
        <w:rPr>
          <w:rFonts w:asciiTheme="minorHAnsi" w:hAnsiTheme="minorHAnsi"/>
          <w:sz w:val="22"/>
          <w:szCs w:val="22"/>
          <w:lang w:val="sr-Cyrl-RS"/>
        </w:rPr>
        <w:t xml:space="preserve">Transbalkanski koridor: Dvostruki dalekovod </w:t>
      </w:r>
      <w:r>
        <w:rPr>
          <w:rFonts w:asciiTheme="minorHAnsi" w:hAnsiTheme="minorHAnsi"/>
          <w:sz w:val="22"/>
          <w:szCs w:val="22"/>
          <w:lang w:val="sr-Latn-BA"/>
        </w:rPr>
        <w:t>DV</w:t>
      </w:r>
      <w:r>
        <w:rPr>
          <w:rFonts w:asciiTheme="minorHAnsi" w:hAnsiTheme="minorHAnsi"/>
          <w:sz w:val="22"/>
          <w:szCs w:val="22"/>
          <w:lang w:val="sr-Cyrl-RS"/>
        </w:rPr>
        <w:t xml:space="preserve"> 400 </w:t>
      </w:r>
      <w:r>
        <w:rPr>
          <w:rFonts w:asciiTheme="minorHAnsi" w:hAnsiTheme="minorHAnsi"/>
          <w:sz w:val="22"/>
          <w:szCs w:val="22"/>
          <w:lang w:val="sr-Latn-BA"/>
        </w:rPr>
        <w:t>kV</w:t>
      </w:r>
      <w:r>
        <w:rPr>
          <w:rFonts w:asciiTheme="minorHAnsi" w:hAnsiTheme="minorHAnsi"/>
          <w:sz w:val="22"/>
          <w:szCs w:val="22"/>
          <w:lang w:val="sr-Cyrl-RS"/>
        </w:rPr>
        <w:t xml:space="preserve"> Bajina Bašta (Srbija) – Višegrad (BiH)/Pljevlja (Crna Gora) (dionice u Bosni i Hercegovini i Crnoj Gori).</w:t>
      </w:r>
    </w:p>
    <w:p w:rsidR="005A1B74" w:rsidRPr="005E6846" w:rsidRDefault="005A1B74" w:rsidP="002D1E7C">
      <w:pPr>
        <w:spacing w:before="120" w:after="120"/>
        <w:jc w:val="both"/>
        <w:rPr>
          <w:rFonts w:asciiTheme="minorHAnsi" w:hAnsiTheme="minorHAnsi"/>
          <w:sz w:val="22"/>
          <w:szCs w:val="22"/>
          <w:lang w:val="sr-Cyrl-RS"/>
        </w:rPr>
      </w:pPr>
      <w:r>
        <w:rPr>
          <w:rFonts w:asciiTheme="minorHAnsi" w:hAnsiTheme="minorHAnsi"/>
          <w:sz w:val="22"/>
          <w:szCs w:val="22"/>
          <w:lang w:val="sr-Cyrl-RS"/>
        </w:rPr>
        <w:t>Aktivnim djelovanjem u Energetskoj zajednici, Bosna i Hercegovina potvrđuje svoju opredijeljenost za reformu energetskog sektora, liberalizaciju tržišta energije i usklađivanje svoje politike s članicama Evropske unije.</w:t>
      </w:r>
    </w:p>
    <w:p w:rsidR="005A1B74" w:rsidRPr="00281D1F" w:rsidRDefault="005A1B74" w:rsidP="002D1E7C">
      <w:pPr>
        <w:pStyle w:val="Heading3"/>
        <w:numPr>
          <w:ilvl w:val="2"/>
          <w:numId w:val="32"/>
        </w:numPr>
        <w:spacing w:after="240"/>
        <w:rPr>
          <w:rFonts w:asciiTheme="minorHAnsi" w:hAnsiTheme="minorHAnsi"/>
          <w:sz w:val="24"/>
          <w:lang w:val="sr-Cyrl-BA"/>
        </w:rPr>
      </w:pPr>
      <w:bookmarkStart w:id="230" w:name="_Toc43123351"/>
      <w:bookmarkStart w:id="231" w:name="_Toc43123352"/>
      <w:bookmarkStart w:id="232" w:name="_Toc43123353"/>
      <w:bookmarkStart w:id="233" w:name="_Toc43123354"/>
      <w:bookmarkStart w:id="234" w:name="_Toc43123355"/>
      <w:bookmarkStart w:id="235" w:name="_Toc43123356"/>
      <w:bookmarkStart w:id="236" w:name="_Toc43123357"/>
      <w:bookmarkStart w:id="237" w:name="_Toc230868156"/>
      <w:bookmarkStart w:id="238" w:name="_Toc293411096"/>
      <w:bookmarkStart w:id="239" w:name="_Toc293414784"/>
      <w:bookmarkStart w:id="240" w:name="_Toc293563734"/>
      <w:bookmarkStart w:id="241" w:name="_Toc358640055"/>
      <w:bookmarkStart w:id="242" w:name="_Toc358640273"/>
      <w:bookmarkStart w:id="243" w:name="_Toc358640491"/>
      <w:bookmarkStart w:id="244" w:name="_Toc358640915"/>
      <w:bookmarkStart w:id="245" w:name="_Toc359494138"/>
      <w:bookmarkStart w:id="246" w:name="_Toc210301175"/>
      <w:bookmarkEnd w:id="230"/>
      <w:bookmarkEnd w:id="231"/>
      <w:bookmarkEnd w:id="232"/>
      <w:bookmarkEnd w:id="233"/>
      <w:bookmarkEnd w:id="234"/>
      <w:bookmarkEnd w:id="235"/>
      <w:bookmarkEnd w:id="236"/>
      <w:r w:rsidRPr="00281D1F">
        <w:rPr>
          <w:rFonts w:asciiTheme="minorHAnsi" w:hAnsiTheme="minorHAnsi"/>
          <w:sz w:val="24"/>
          <w:lang w:val="sr-Cyrl-BA"/>
        </w:rPr>
        <w:t>ERRA – Regionalno udruženje energetskih regulatornih tijela</w:t>
      </w:r>
      <w:bookmarkEnd w:id="237"/>
      <w:bookmarkEnd w:id="238"/>
      <w:bookmarkEnd w:id="239"/>
      <w:bookmarkEnd w:id="240"/>
      <w:bookmarkEnd w:id="241"/>
      <w:bookmarkEnd w:id="242"/>
      <w:bookmarkEnd w:id="243"/>
      <w:bookmarkEnd w:id="244"/>
      <w:bookmarkEnd w:id="245"/>
      <w:bookmarkEnd w:id="246"/>
    </w:p>
    <w:p w:rsidR="005A1B74" w:rsidRPr="00281D1F" w:rsidRDefault="005A1B74" w:rsidP="002D1E7C">
      <w:pPr>
        <w:spacing w:before="120" w:after="120"/>
        <w:jc w:val="both"/>
        <w:rPr>
          <w:rFonts w:asciiTheme="minorHAnsi" w:hAnsiTheme="minorHAnsi"/>
          <w:noProof/>
          <w:sz w:val="22"/>
          <w:lang w:val="sr-Cyrl-BA"/>
        </w:rPr>
      </w:pPr>
      <w:r w:rsidRPr="00281D1F">
        <w:rPr>
          <w:rFonts w:asciiTheme="minorHAnsi" w:hAnsiTheme="minorHAnsi"/>
          <w:noProof/>
          <w:sz w:val="22"/>
          <w:lang w:val="sr-Cyrl-BA"/>
        </w:rPr>
        <w:t>Regionalna asocijacija energetskih regulatora (ERRA) je organizacija nezavisnih regulatornih tijela za energiju iz Evrope, Azije, Afrike i Amerike. Promjenama Statuta u 2015. godini</w:t>
      </w:r>
      <w:r>
        <w:rPr>
          <w:rFonts w:asciiTheme="minorHAnsi" w:hAnsiTheme="minorHAnsi"/>
          <w:noProof/>
          <w:sz w:val="22"/>
          <w:lang w:val="sr-Latn-BA"/>
        </w:rPr>
        <w:t>,</w:t>
      </w:r>
      <w:r w:rsidRPr="00281D1F">
        <w:rPr>
          <w:rFonts w:asciiTheme="minorHAnsi" w:hAnsiTheme="minorHAnsi"/>
          <w:noProof/>
          <w:sz w:val="22"/>
          <w:lang w:val="sr-Cyrl-BA"/>
        </w:rPr>
        <w:t xml:space="preserve"> uklonjene su barijere za pridruživanje regulatora iz novih regija i omogućena aktivna uloga svih članica. ERRA ima 35 punopravnih i 12 pridruženih članica, i okuplja regulatore iz 43 države i dvije regionalne regulatorne institucije, s gotovo svih kontinenata – Evrope, Azije, Afrike i Amerike.</w:t>
      </w:r>
    </w:p>
    <w:p w:rsidR="005A1B74" w:rsidRPr="00281D1F" w:rsidRDefault="005A1B74" w:rsidP="002D1E7C">
      <w:pPr>
        <w:spacing w:before="120" w:after="120"/>
        <w:jc w:val="both"/>
        <w:rPr>
          <w:rFonts w:asciiTheme="minorHAnsi" w:hAnsiTheme="minorHAnsi"/>
          <w:noProof/>
          <w:sz w:val="22"/>
          <w:lang w:val="sr-Cyrl-BA"/>
        </w:rPr>
      </w:pPr>
      <w:r w:rsidRPr="00281D1F">
        <w:rPr>
          <w:rFonts w:asciiTheme="minorHAnsi" w:hAnsiTheme="minorHAnsi"/>
          <w:noProof/>
          <w:sz w:val="22"/>
          <w:lang w:val="sr-Cyrl-BA"/>
        </w:rPr>
        <w:t>Ciljevi ERRA-e su poboljšanje regulisanja energetskih djelatnosti u zemljama članicama, podsticanje razvoja nezavisnih i stabilnih regulatora, poboljšanje saradnje između regulatora, razmjena informacija, istraživačkog rada i iskustva između članica te bolji pristup informacijama o svjetskoj praksi u regulisanju energetskih djelatnosti.</w:t>
      </w:r>
    </w:p>
    <w:p w:rsidR="005A1B74" w:rsidRPr="00281D1F" w:rsidRDefault="005A1B74" w:rsidP="002D1E7C">
      <w:pPr>
        <w:spacing w:before="120" w:after="120"/>
        <w:jc w:val="both"/>
        <w:rPr>
          <w:rFonts w:asciiTheme="minorHAnsi" w:hAnsiTheme="minorHAnsi"/>
          <w:noProof/>
          <w:sz w:val="22"/>
          <w:lang w:val="sr-Cyrl-BA"/>
        </w:rPr>
      </w:pPr>
      <w:r w:rsidRPr="00281D1F">
        <w:rPr>
          <w:rFonts w:asciiTheme="minorHAnsi" w:hAnsiTheme="minorHAnsi"/>
          <w:noProof/>
          <w:sz w:val="22"/>
          <w:lang w:val="sr-Cyrl-BA"/>
        </w:rPr>
        <w:t xml:space="preserve">Na Generalnoj skupštini u maju 2010. godine, kao pridružene članice ove organizacije primljene su i dvije entitetske regulatorne komisije iz Bosne i Hercegovine – Regulatorna komisija za energiju u Federaciji Bosne i Hercegovine i Regulatorna komisija za energetiku Republike Srpske. </w:t>
      </w:r>
    </w:p>
    <w:p w:rsidR="005A1B74" w:rsidRPr="00281D1F" w:rsidRDefault="005A1B74" w:rsidP="002D1E7C">
      <w:pPr>
        <w:spacing w:before="120" w:after="120"/>
        <w:jc w:val="both"/>
        <w:rPr>
          <w:rFonts w:asciiTheme="minorHAnsi" w:hAnsiTheme="minorHAnsi"/>
          <w:sz w:val="22"/>
          <w:szCs w:val="22"/>
          <w:lang w:val="sr-Cyrl-BA"/>
        </w:rPr>
      </w:pPr>
      <w:r w:rsidRPr="00281D1F">
        <w:rPr>
          <w:rFonts w:asciiTheme="minorHAnsi" w:hAnsiTheme="minorHAnsi"/>
          <w:sz w:val="22"/>
          <w:szCs w:val="22"/>
          <w:lang w:val="sr-Cyrl-BA"/>
        </w:rPr>
        <w:t>Tokom 202</w:t>
      </w:r>
      <w:r>
        <w:rPr>
          <w:rFonts w:asciiTheme="minorHAnsi" w:hAnsiTheme="minorHAnsi"/>
          <w:sz w:val="22"/>
          <w:szCs w:val="22"/>
          <w:lang w:val="sr-Cyrl-BA"/>
        </w:rPr>
        <w:t>4</w:t>
      </w:r>
      <w:r w:rsidRPr="00281D1F">
        <w:rPr>
          <w:rFonts w:asciiTheme="minorHAnsi" w:hAnsiTheme="minorHAnsi"/>
          <w:sz w:val="22"/>
          <w:szCs w:val="22"/>
          <w:lang w:val="sr-Cyrl-BA"/>
        </w:rPr>
        <w:t>. godine</w:t>
      </w:r>
      <w:r>
        <w:rPr>
          <w:rFonts w:asciiTheme="minorHAnsi" w:hAnsiTheme="minorHAnsi"/>
          <w:sz w:val="22"/>
          <w:szCs w:val="22"/>
          <w:lang w:val="sr-Latn-BA"/>
        </w:rPr>
        <w:t>,</w:t>
      </w:r>
      <w:r w:rsidRPr="00281D1F">
        <w:rPr>
          <w:rFonts w:asciiTheme="minorHAnsi" w:hAnsiTheme="minorHAnsi"/>
          <w:sz w:val="22"/>
          <w:szCs w:val="22"/>
          <w:lang w:val="sr-Cyrl-BA"/>
        </w:rPr>
        <w:t xml:space="preserve"> obrađivane su aktuelne teme u sektoru, </w:t>
      </w:r>
      <w:r>
        <w:rPr>
          <w:rFonts w:asciiTheme="minorHAnsi" w:hAnsiTheme="minorHAnsi"/>
          <w:sz w:val="22"/>
          <w:szCs w:val="22"/>
          <w:lang w:val="sr-Cyrl-BA"/>
        </w:rPr>
        <w:t>uključujući razvojne trendove u elektroenergetskom sektoru, fleksibilnost elektroenergetskom sistema u kontekstu dekarbonizacije i povećanog preuzimanja energije iz obnovljivih izvora, ulogu energetskih zajednica i kupaca – potrošača (</w:t>
      </w:r>
      <w:r>
        <w:rPr>
          <w:rFonts w:asciiTheme="minorHAnsi" w:hAnsiTheme="minorHAnsi"/>
          <w:sz w:val="22"/>
          <w:szCs w:val="22"/>
          <w:lang w:val="sr-Latn-BA"/>
        </w:rPr>
        <w:t>prosumer</w:t>
      </w:r>
      <w:r>
        <w:rPr>
          <w:rFonts w:asciiTheme="minorHAnsi" w:hAnsiTheme="minorHAnsi"/>
          <w:sz w:val="22"/>
          <w:szCs w:val="22"/>
          <w:lang w:val="sr-Cyrl-BA"/>
        </w:rPr>
        <w:t>-a) na tržištu električne energije, integraciju obnovljivih izvora energije, elektromobilnost, zaštitu ugroženih kategorija kupaca te regulatorni okvir za dinamičko određivanje cijena.</w:t>
      </w:r>
    </w:p>
    <w:p w:rsidR="005A1B74" w:rsidRPr="00281D1F" w:rsidRDefault="005A1B74" w:rsidP="002D1E7C">
      <w:pPr>
        <w:spacing w:before="120" w:after="120"/>
        <w:jc w:val="both"/>
        <w:rPr>
          <w:rFonts w:asciiTheme="minorHAnsi" w:hAnsiTheme="minorHAnsi"/>
          <w:sz w:val="22"/>
          <w:szCs w:val="22"/>
          <w:lang w:val="sr-Cyrl-BA"/>
        </w:rPr>
      </w:pPr>
      <w:r w:rsidRPr="00281D1F">
        <w:rPr>
          <w:rFonts w:asciiTheme="minorHAnsi" w:hAnsiTheme="minorHAnsi"/>
          <w:sz w:val="22"/>
          <w:szCs w:val="22"/>
          <w:lang w:val="sr-Cyrl-BA"/>
        </w:rPr>
        <w:t>U skladu sa svojim nadležnostima, predstavnici Regulatorne komisije učestvuju u radu Generalne skupštine ERRA-e, Komiteta za tržišta električne energije i ekonomsko regulisanje, Komiteta za tržišta gasa i ekonomsko regulisanje, Komitet</w:t>
      </w:r>
      <w:r>
        <w:rPr>
          <w:rFonts w:asciiTheme="minorHAnsi" w:hAnsiTheme="minorHAnsi"/>
          <w:sz w:val="22"/>
          <w:szCs w:val="22"/>
          <w:lang w:val="sr-Latn-BA"/>
        </w:rPr>
        <w:t>a</w:t>
      </w:r>
      <w:r w:rsidRPr="00281D1F">
        <w:rPr>
          <w:rFonts w:asciiTheme="minorHAnsi" w:hAnsiTheme="minorHAnsi"/>
          <w:sz w:val="22"/>
          <w:szCs w:val="22"/>
          <w:lang w:val="sr-Cyrl-BA"/>
        </w:rPr>
        <w:t xml:space="preserve"> za energetsku tranziciju i Radnu grupu za zaštitu kupaca.</w:t>
      </w:r>
      <w:r>
        <w:rPr>
          <w:rFonts w:asciiTheme="minorHAnsi" w:hAnsiTheme="minorHAnsi"/>
          <w:sz w:val="22"/>
          <w:szCs w:val="22"/>
          <w:lang w:val="sr-Cyrl-BA"/>
        </w:rPr>
        <w:t xml:space="preserve"> Pružanjem relevantnih informacija o energetskom sektoru BiH i regulatornoj praksi, RERS ispunjava svoju ulogu, u skladu s članstvom u ERRA-i.</w:t>
      </w:r>
    </w:p>
    <w:p w:rsidR="005A1B74" w:rsidRPr="00281D1F" w:rsidRDefault="005A1B74" w:rsidP="002D1E7C">
      <w:pPr>
        <w:pStyle w:val="Heading3"/>
        <w:numPr>
          <w:ilvl w:val="2"/>
          <w:numId w:val="32"/>
        </w:numPr>
        <w:spacing w:after="240"/>
        <w:rPr>
          <w:rFonts w:asciiTheme="minorHAnsi" w:hAnsiTheme="minorHAnsi"/>
          <w:sz w:val="24"/>
          <w:lang w:val="sr-Cyrl-BA"/>
        </w:rPr>
      </w:pPr>
      <w:bookmarkStart w:id="247" w:name="_Toc105493290"/>
      <w:bookmarkStart w:id="248" w:name="_Toc358640056"/>
      <w:bookmarkStart w:id="249" w:name="_Toc358640274"/>
      <w:bookmarkStart w:id="250" w:name="_Toc358640492"/>
      <w:bookmarkStart w:id="251" w:name="_Toc358640916"/>
      <w:bookmarkStart w:id="252" w:name="_Toc359494139"/>
      <w:bookmarkStart w:id="253" w:name="_Toc210301176"/>
      <w:bookmarkEnd w:id="247"/>
      <w:r w:rsidRPr="00281D1F">
        <w:rPr>
          <w:rFonts w:asciiTheme="minorHAnsi" w:hAnsiTheme="minorHAnsi"/>
          <w:sz w:val="24"/>
          <w:lang w:val="sr-Cyrl-BA"/>
        </w:rPr>
        <w:t>Saradnja sa Ministarstvom energetike i rudarstva Republike Srpske</w:t>
      </w:r>
      <w:bookmarkEnd w:id="248"/>
      <w:bookmarkEnd w:id="249"/>
      <w:bookmarkEnd w:id="250"/>
      <w:bookmarkEnd w:id="251"/>
      <w:bookmarkEnd w:id="252"/>
      <w:bookmarkEnd w:id="253"/>
    </w:p>
    <w:p w:rsidR="005A1B74" w:rsidRPr="00281D1F" w:rsidRDefault="005A1B74" w:rsidP="002D1E7C">
      <w:pPr>
        <w:spacing w:before="120" w:after="120"/>
        <w:jc w:val="both"/>
        <w:rPr>
          <w:rFonts w:asciiTheme="minorHAnsi" w:hAnsiTheme="minorHAnsi"/>
          <w:sz w:val="22"/>
          <w:szCs w:val="22"/>
          <w:lang w:val="sr-Cyrl-BA"/>
        </w:rPr>
      </w:pPr>
      <w:r w:rsidRPr="00281D1F">
        <w:rPr>
          <w:rFonts w:asciiTheme="minorHAnsi" w:hAnsiTheme="minorHAnsi"/>
          <w:bCs/>
          <w:iCs/>
          <w:sz w:val="22"/>
          <w:szCs w:val="22"/>
          <w:lang w:val="sr-Cyrl-BA"/>
        </w:rPr>
        <w:t>U cilju ispunjenja zajedničkih ciljeva u vezi sa funkcionisanjem energetskog sektora Republike Srpske i Bosne i Hercegovine</w:t>
      </w:r>
      <w:r w:rsidRPr="00281D1F">
        <w:rPr>
          <w:rFonts w:asciiTheme="minorHAnsi" w:hAnsiTheme="minorHAnsi"/>
          <w:sz w:val="22"/>
          <w:szCs w:val="22"/>
          <w:lang w:val="sr-Cyrl-BA"/>
        </w:rPr>
        <w:t xml:space="preserve">, Regulatorna komisija aktivno sarađuje sa Ministarstvom energetike i rudarstva </w:t>
      </w:r>
      <w:r w:rsidRPr="00281D1F">
        <w:rPr>
          <w:rFonts w:asciiTheme="minorHAnsi" w:hAnsiTheme="minorHAnsi"/>
          <w:sz w:val="22"/>
          <w:szCs w:val="22"/>
          <w:lang w:val="sr-Cyrl-BA"/>
        </w:rPr>
        <w:lastRenderedPageBreak/>
        <w:t>Republike Srpske. Saradnja sa Ministarstvom u toku 202</w:t>
      </w:r>
      <w:r>
        <w:rPr>
          <w:rFonts w:asciiTheme="minorHAnsi" w:hAnsiTheme="minorHAnsi"/>
          <w:sz w:val="22"/>
          <w:szCs w:val="22"/>
          <w:lang w:val="sr-Latn-BA"/>
        </w:rPr>
        <w:t>4</w:t>
      </w:r>
      <w:r w:rsidRPr="00281D1F">
        <w:rPr>
          <w:rFonts w:asciiTheme="minorHAnsi" w:hAnsiTheme="minorHAnsi"/>
          <w:sz w:val="22"/>
          <w:szCs w:val="22"/>
          <w:lang w:val="sr-Cyrl-BA"/>
        </w:rPr>
        <w:t>. godine obuhvatala je, između ostalog, razmjenu stručnih mišljenja u okviru sljedećih aktivnosti:</w:t>
      </w:r>
    </w:p>
    <w:p w:rsidR="005A1B74" w:rsidRPr="00281D1F" w:rsidRDefault="005A1B74" w:rsidP="002D1E7C">
      <w:pPr>
        <w:numPr>
          <w:ilvl w:val="0"/>
          <w:numId w:val="9"/>
        </w:numPr>
        <w:tabs>
          <w:tab w:val="num" w:pos="426"/>
        </w:tabs>
        <w:ind w:left="426" w:hanging="426"/>
        <w:jc w:val="both"/>
        <w:rPr>
          <w:rFonts w:asciiTheme="minorHAnsi" w:hAnsiTheme="minorHAnsi"/>
          <w:sz w:val="22"/>
          <w:szCs w:val="22"/>
          <w:lang w:val="sr-Cyrl-BA"/>
        </w:rPr>
      </w:pPr>
      <w:r w:rsidRPr="00281D1F">
        <w:rPr>
          <w:rFonts w:asciiTheme="minorHAnsi" w:hAnsiTheme="minorHAnsi"/>
          <w:sz w:val="22"/>
          <w:szCs w:val="22"/>
          <w:lang w:val="sr-Cyrl-BA"/>
        </w:rPr>
        <w:t>Analizi ostvarenja ciljeva udjela energije iz obnovljivih izvora energije u bruto finalnoj potrošnji energije u Republici Srpskoj,</w:t>
      </w:r>
    </w:p>
    <w:p w:rsidR="005A1B74" w:rsidRPr="00281D1F" w:rsidRDefault="005A1B74" w:rsidP="002D1E7C">
      <w:pPr>
        <w:numPr>
          <w:ilvl w:val="0"/>
          <w:numId w:val="9"/>
        </w:numPr>
        <w:tabs>
          <w:tab w:val="num" w:pos="426"/>
        </w:tabs>
        <w:ind w:left="426" w:hanging="426"/>
        <w:jc w:val="both"/>
        <w:rPr>
          <w:rFonts w:asciiTheme="minorHAnsi" w:hAnsiTheme="minorHAnsi"/>
          <w:sz w:val="22"/>
          <w:szCs w:val="22"/>
          <w:lang w:val="sr-Cyrl-BA"/>
        </w:rPr>
      </w:pPr>
      <w:r w:rsidRPr="00281D1F">
        <w:rPr>
          <w:rFonts w:asciiTheme="minorHAnsi" w:hAnsiTheme="minorHAnsi"/>
          <w:sz w:val="22"/>
          <w:szCs w:val="22"/>
          <w:lang w:val="sr-Cyrl-BA"/>
        </w:rPr>
        <w:t>Konsultacija u vezi sa aktivnostima Energetske zajednice i</w:t>
      </w:r>
    </w:p>
    <w:p w:rsidR="005A1B74" w:rsidRPr="00281D1F" w:rsidRDefault="005A1B74" w:rsidP="002D1E7C">
      <w:pPr>
        <w:numPr>
          <w:ilvl w:val="0"/>
          <w:numId w:val="9"/>
        </w:numPr>
        <w:tabs>
          <w:tab w:val="num" w:pos="426"/>
        </w:tabs>
        <w:ind w:left="426" w:hanging="426"/>
        <w:jc w:val="both"/>
        <w:rPr>
          <w:rFonts w:asciiTheme="minorHAnsi" w:hAnsiTheme="minorHAnsi"/>
          <w:sz w:val="22"/>
          <w:szCs w:val="22"/>
          <w:lang w:val="sr-Cyrl-BA"/>
        </w:rPr>
      </w:pPr>
      <w:r w:rsidRPr="00281D1F">
        <w:rPr>
          <w:rFonts w:asciiTheme="minorHAnsi" w:hAnsiTheme="minorHAnsi"/>
          <w:sz w:val="22"/>
          <w:szCs w:val="22"/>
          <w:lang w:val="sr-Cyrl-BA"/>
        </w:rPr>
        <w:t>Učešća u aktivnostima na izradi primarnog zakonodavstva u sektoru energetike u Republici Srpskoj, kao i na nivou BiH.</w:t>
      </w:r>
    </w:p>
    <w:p w:rsidR="005A1B74" w:rsidRPr="00281D1F" w:rsidRDefault="005A1B74" w:rsidP="002D1E7C">
      <w:pPr>
        <w:pStyle w:val="Heading3"/>
        <w:numPr>
          <w:ilvl w:val="2"/>
          <w:numId w:val="32"/>
        </w:numPr>
        <w:spacing w:after="240"/>
        <w:rPr>
          <w:rFonts w:asciiTheme="minorHAnsi" w:hAnsiTheme="minorHAnsi"/>
          <w:sz w:val="24"/>
          <w:lang w:val="sr-Cyrl-BA"/>
        </w:rPr>
      </w:pPr>
      <w:bookmarkStart w:id="254" w:name="_Toc230868157"/>
      <w:bookmarkStart w:id="255" w:name="_Toc293411097"/>
      <w:bookmarkStart w:id="256" w:name="_Toc293414785"/>
      <w:bookmarkStart w:id="257" w:name="_Toc293563735"/>
      <w:bookmarkStart w:id="258" w:name="_Toc358640057"/>
      <w:bookmarkStart w:id="259" w:name="_Toc358640275"/>
      <w:bookmarkStart w:id="260" w:name="_Toc358640493"/>
      <w:bookmarkStart w:id="261" w:name="_Toc358640917"/>
      <w:bookmarkStart w:id="262" w:name="_Toc359494140"/>
      <w:bookmarkStart w:id="263" w:name="_Toc210301177"/>
      <w:r w:rsidRPr="00281D1F">
        <w:rPr>
          <w:rFonts w:asciiTheme="minorHAnsi" w:hAnsiTheme="minorHAnsi"/>
          <w:sz w:val="24"/>
          <w:lang w:val="sr-Cyrl-BA"/>
        </w:rPr>
        <w:t>Saradnja sa drugim regulatornim komisijama</w:t>
      </w:r>
      <w:bookmarkEnd w:id="254"/>
      <w:bookmarkEnd w:id="255"/>
      <w:bookmarkEnd w:id="256"/>
      <w:bookmarkEnd w:id="257"/>
      <w:bookmarkEnd w:id="258"/>
      <w:bookmarkEnd w:id="259"/>
      <w:bookmarkEnd w:id="260"/>
      <w:bookmarkEnd w:id="261"/>
      <w:bookmarkEnd w:id="262"/>
      <w:bookmarkEnd w:id="263"/>
    </w:p>
    <w:p w:rsidR="005A1B74" w:rsidRPr="00281D1F" w:rsidRDefault="005A1B74" w:rsidP="002D1E7C">
      <w:pPr>
        <w:jc w:val="both"/>
        <w:rPr>
          <w:rFonts w:asciiTheme="minorHAnsi" w:hAnsiTheme="minorHAnsi" w:cs="Calibri"/>
          <w:sz w:val="22"/>
          <w:szCs w:val="22"/>
          <w:lang w:val="sr-Cyrl-BA"/>
        </w:rPr>
      </w:pPr>
      <w:r w:rsidRPr="00281D1F">
        <w:rPr>
          <w:rFonts w:asciiTheme="minorHAnsi" w:hAnsiTheme="minorHAnsi" w:cs="Calibri"/>
          <w:sz w:val="22"/>
          <w:szCs w:val="22"/>
          <w:lang w:val="sr-Cyrl-BA"/>
        </w:rPr>
        <w:t>Tokom 202</w:t>
      </w:r>
      <w:r>
        <w:rPr>
          <w:rFonts w:asciiTheme="minorHAnsi" w:hAnsiTheme="minorHAnsi" w:cs="Calibri"/>
          <w:sz w:val="22"/>
          <w:szCs w:val="22"/>
          <w:lang w:val="sr-Cyrl-BA"/>
        </w:rPr>
        <w:t>4</w:t>
      </w:r>
      <w:r w:rsidRPr="00281D1F">
        <w:rPr>
          <w:rFonts w:asciiTheme="minorHAnsi" w:hAnsiTheme="minorHAnsi" w:cs="Calibri"/>
          <w:sz w:val="22"/>
          <w:szCs w:val="22"/>
          <w:lang w:val="sr-Cyrl-BA"/>
        </w:rPr>
        <w:t>. godine, Regulatorna komisija sarađivala je sa druge dvije komisije koje djeluju na prostoru Bosne i Hercegovine: Državnom regulatornom komisijom za električnu energiju (DERK) i Regulatornom komisijom za električnu energiju u Federaciji Bosne i Hercegovine (FERK), na donošenju pravila i propisa iz svoje nadležnosti, kao i na razmjeni iskustva i saznanja iz pojedinih oblasti regulatorne djelatnosti.</w:t>
      </w:r>
    </w:p>
    <w:p w:rsidR="005A1B74" w:rsidRPr="00281D1F" w:rsidRDefault="005A1B74" w:rsidP="002D1E7C">
      <w:pPr>
        <w:spacing w:before="120" w:after="120"/>
        <w:jc w:val="both"/>
        <w:rPr>
          <w:rFonts w:asciiTheme="minorHAnsi" w:hAnsiTheme="minorHAnsi"/>
          <w:sz w:val="22"/>
          <w:szCs w:val="22"/>
          <w:lang w:val="sr-Cyrl-BA"/>
        </w:rPr>
      </w:pPr>
      <w:r w:rsidRPr="00281D1F">
        <w:rPr>
          <w:rFonts w:asciiTheme="minorHAnsi" w:hAnsiTheme="minorHAnsi"/>
          <w:sz w:val="22"/>
          <w:szCs w:val="22"/>
          <w:lang w:val="sr-Cyrl-BA"/>
        </w:rPr>
        <w:t xml:space="preserve">Saradnja sa regulatornim komisijama u Bosni i Hercegovini ostvarena je kroz razmjenu iskustava i informacija, koje su značajne za djelokrug rada komisija, kao i po pitanju donošenja odluka kada je riječ o zauzimanju zajedničkog stava kada se radi o nekom opštem pitanju. </w:t>
      </w:r>
    </w:p>
    <w:p w:rsidR="005A1B74" w:rsidRPr="00281D1F" w:rsidRDefault="005A1B74" w:rsidP="002D1E7C">
      <w:pPr>
        <w:pStyle w:val="Heading3"/>
        <w:numPr>
          <w:ilvl w:val="2"/>
          <w:numId w:val="32"/>
        </w:numPr>
        <w:spacing w:after="240"/>
        <w:rPr>
          <w:rFonts w:asciiTheme="minorHAnsi" w:hAnsiTheme="minorHAnsi"/>
          <w:sz w:val="24"/>
          <w:lang w:val="sr-Cyrl-BA"/>
        </w:rPr>
      </w:pPr>
      <w:bookmarkStart w:id="264" w:name="_Toc293411099"/>
      <w:bookmarkStart w:id="265" w:name="_Toc293414787"/>
      <w:bookmarkStart w:id="266" w:name="_Toc293563737"/>
      <w:bookmarkStart w:id="267" w:name="_Toc358640058"/>
      <w:bookmarkStart w:id="268" w:name="_Toc358640276"/>
      <w:bookmarkStart w:id="269" w:name="_Toc358640494"/>
      <w:bookmarkStart w:id="270" w:name="_Toc358640918"/>
      <w:bookmarkStart w:id="271" w:name="_Toc359494141"/>
      <w:bookmarkStart w:id="272" w:name="_Toc210301178"/>
      <w:bookmarkStart w:id="273" w:name="_Toc230868158"/>
      <w:r w:rsidRPr="00281D1F">
        <w:rPr>
          <w:rFonts w:asciiTheme="minorHAnsi" w:hAnsiTheme="minorHAnsi"/>
          <w:sz w:val="24"/>
          <w:lang w:val="sr-Cyrl-BA"/>
        </w:rPr>
        <w:t>Saradnja sa ostalim institucijama</w:t>
      </w:r>
      <w:bookmarkEnd w:id="264"/>
      <w:bookmarkEnd w:id="265"/>
      <w:bookmarkEnd w:id="266"/>
      <w:bookmarkEnd w:id="267"/>
      <w:bookmarkEnd w:id="268"/>
      <w:bookmarkEnd w:id="269"/>
      <w:bookmarkEnd w:id="270"/>
      <w:bookmarkEnd w:id="271"/>
      <w:bookmarkEnd w:id="272"/>
    </w:p>
    <w:p w:rsidR="005A1B74" w:rsidRPr="0060265D" w:rsidRDefault="005A1B74" w:rsidP="002D1E7C">
      <w:pPr>
        <w:spacing w:before="120" w:after="120"/>
        <w:jc w:val="both"/>
        <w:rPr>
          <w:rFonts w:asciiTheme="minorHAnsi" w:hAnsiTheme="minorHAnsi"/>
          <w:bCs/>
          <w:iCs/>
          <w:sz w:val="22"/>
          <w:szCs w:val="22"/>
          <w:lang w:val="sr-Cyrl-BA"/>
        </w:rPr>
      </w:pPr>
      <w:bookmarkStart w:id="274" w:name="_Toc293411100"/>
      <w:bookmarkStart w:id="275" w:name="_Toc293414788"/>
      <w:bookmarkStart w:id="276" w:name="_Toc293563738"/>
      <w:bookmarkStart w:id="277" w:name="_Toc358640059"/>
      <w:bookmarkStart w:id="278" w:name="_Toc358640277"/>
      <w:bookmarkStart w:id="279" w:name="_Toc358640495"/>
      <w:bookmarkStart w:id="280" w:name="_Toc358640919"/>
      <w:bookmarkStart w:id="281" w:name="_Toc359494142"/>
      <w:r w:rsidRPr="0060265D">
        <w:rPr>
          <w:rFonts w:asciiTheme="minorHAnsi" w:hAnsiTheme="minorHAnsi"/>
          <w:bCs/>
          <w:iCs/>
          <w:sz w:val="22"/>
          <w:szCs w:val="22"/>
          <w:lang w:val="sr-Cyrl-BA"/>
        </w:rPr>
        <w:t xml:space="preserve">U septembru 2019. godine, po završetku projekta EIA, pokrenut je novi petogodišnji Projekat asistencije energetskom sektoru (EPA). Ovaj projekat pruža tehničku pomoć u koordinisanju, upravljanju i poboljšanju pravnog okvira i transparentnosti u sektorima električne energije i prirodnog gasa. </w:t>
      </w:r>
    </w:p>
    <w:p w:rsidR="005A1B74" w:rsidRPr="00281D1F" w:rsidRDefault="005A1B74" w:rsidP="002D1E7C">
      <w:pPr>
        <w:spacing w:before="120" w:after="120"/>
        <w:jc w:val="both"/>
        <w:rPr>
          <w:rFonts w:asciiTheme="minorHAnsi" w:hAnsiTheme="minorHAnsi"/>
          <w:bCs/>
          <w:iCs/>
          <w:sz w:val="22"/>
          <w:szCs w:val="22"/>
          <w:lang w:val="sr-Cyrl-BA"/>
        </w:rPr>
      </w:pPr>
      <w:r w:rsidRPr="0060265D">
        <w:rPr>
          <w:rFonts w:asciiTheme="minorHAnsi" w:hAnsiTheme="minorHAnsi"/>
          <w:bCs/>
          <w:iCs/>
          <w:sz w:val="22"/>
          <w:szCs w:val="22"/>
          <w:lang w:val="sr-Cyrl-BA"/>
        </w:rPr>
        <w:t>Predstavnici Regulatorne komisije učestvuju u aktivnostima koje u okviru ovog Projekta sprovode Radna grupa za tržište za dan unaprijed i unutardnevno tržište, Radna grupa za razvoj sistema za upravljanje potrošnjom, Radna grupa za balansiranje domaćinstava i malih komercijalnih kupaca, Radna grupa za odnose sa javnošću i Radna grupa za informacionu bezbjednost u energetskom sektoru</w:t>
      </w:r>
      <w:r w:rsidRPr="00281D1F">
        <w:rPr>
          <w:rFonts w:asciiTheme="minorHAnsi" w:hAnsiTheme="minorHAnsi"/>
          <w:bCs/>
          <w:iCs/>
          <w:sz w:val="22"/>
          <w:szCs w:val="22"/>
          <w:lang w:val="sr-Cyrl-BA"/>
        </w:rPr>
        <w:t>.</w:t>
      </w:r>
    </w:p>
    <w:p w:rsidR="005A1B74" w:rsidRDefault="005A1B74" w:rsidP="002D1E7C">
      <w:pPr>
        <w:spacing w:before="120" w:after="120"/>
        <w:jc w:val="both"/>
        <w:rPr>
          <w:rFonts w:asciiTheme="minorHAnsi" w:hAnsiTheme="minorHAnsi"/>
          <w:bCs/>
          <w:iCs/>
          <w:sz w:val="22"/>
          <w:szCs w:val="22"/>
          <w:lang w:val="sr-Cyrl-BA"/>
        </w:rPr>
      </w:pPr>
      <w:r>
        <w:rPr>
          <w:rFonts w:asciiTheme="minorHAnsi" w:hAnsiTheme="minorHAnsi"/>
          <w:bCs/>
          <w:iCs/>
          <w:sz w:val="22"/>
          <w:szCs w:val="22"/>
          <w:lang w:val="sr-Cyrl-BA"/>
        </w:rPr>
        <w:t>T</w:t>
      </w:r>
      <w:r w:rsidRPr="00281D1F">
        <w:rPr>
          <w:rFonts w:asciiTheme="minorHAnsi" w:hAnsiTheme="minorHAnsi"/>
          <w:bCs/>
          <w:iCs/>
          <w:sz w:val="22"/>
          <w:szCs w:val="22"/>
          <w:lang w:val="sr-Cyrl-BA"/>
        </w:rPr>
        <w:t>okom 202</w:t>
      </w:r>
      <w:r>
        <w:rPr>
          <w:rFonts w:asciiTheme="minorHAnsi" w:hAnsiTheme="minorHAnsi"/>
          <w:bCs/>
          <w:iCs/>
          <w:sz w:val="22"/>
          <w:szCs w:val="22"/>
          <w:lang w:val="sr-Cyrl-BA"/>
        </w:rPr>
        <w:t>4</w:t>
      </w:r>
      <w:r w:rsidRPr="00281D1F">
        <w:rPr>
          <w:rFonts w:asciiTheme="minorHAnsi" w:hAnsiTheme="minorHAnsi"/>
          <w:bCs/>
          <w:iCs/>
          <w:sz w:val="22"/>
          <w:szCs w:val="22"/>
          <w:lang w:val="sr-Cyrl-BA"/>
        </w:rPr>
        <w:t>. godine, predstavnici Regulatorne komisije učestvovali su i u projektima, odnosno i</w:t>
      </w:r>
      <w:r>
        <w:rPr>
          <w:rFonts w:asciiTheme="minorHAnsi" w:hAnsiTheme="minorHAnsi"/>
          <w:bCs/>
          <w:iCs/>
          <w:sz w:val="22"/>
          <w:szCs w:val="22"/>
          <w:lang w:val="sr-Cyrl-BA"/>
        </w:rPr>
        <w:t>ni</w:t>
      </w:r>
      <w:r w:rsidRPr="00281D1F">
        <w:rPr>
          <w:rFonts w:asciiTheme="minorHAnsi" w:hAnsiTheme="minorHAnsi"/>
          <w:bCs/>
          <w:iCs/>
          <w:sz w:val="22"/>
          <w:szCs w:val="22"/>
          <w:lang w:val="sr-Cyrl-BA"/>
        </w:rPr>
        <w:t>cijativama koje su organizovali Američka agencija za međunarodni razvoj (USAID) i Nacionalna asocijacija regulatora SAD (NARUC), koje se odnose na globalni razvoj i prosperitet žena,</w:t>
      </w:r>
      <w:r>
        <w:rPr>
          <w:rFonts w:asciiTheme="minorHAnsi" w:hAnsiTheme="minorHAnsi"/>
          <w:bCs/>
          <w:iCs/>
          <w:sz w:val="22"/>
          <w:szCs w:val="22"/>
          <w:lang w:val="sr-Cyrl-BA"/>
        </w:rPr>
        <w:t xml:space="preserve"> informacionu</w:t>
      </w:r>
      <w:r w:rsidRPr="00281D1F">
        <w:rPr>
          <w:rFonts w:asciiTheme="minorHAnsi" w:hAnsiTheme="minorHAnsi"/>
          <w:bCs/>
          <w:iCs/>
          <w:sz w:val="22"/>
          <w:szCs w:val="22"/>
          <w:lang w:val="sr-Cyrl-BA"/>
        </w:rPr>
        <w:t xml:space="preserve"> bezbjednost, priprem</w:t>
      </w:r>
      <w:r>
        <w:rPr>
          <w:rFonts w:asciiTheme="minorHAnsi" w:hAnsiTheme="minorHAnsi"/>
          <w:bCs/>
          <w:iCs/>
          <w:sz w:val="22"/>
          <w:szCs w:val="22"/>
          <w:lang w:val="sr-Cyrl-BA"/>
        </w:rPr>
        <w:t>u</w:t>
      </w:r>
      <w:r w:rsidRPr="00281D1F">
        <w:rPr>
          <w:rFonts w:asciiTheme="minorHAnsi" w:hAnsiTheme="minorHAnsi"/>
          <w:bCs/>
          <w:iCs/>
          <w:sz w:val="22"/>
          <w:szCs w:val="22"/>
          <w:lang w:val="sr-Cyrl-BA"/>
        </w:rPr>
        <w:t xml:space="preserve"> operatora prenosnog si</w:t>
      </w:r>
      <w:r>
        <w:rPr>
          <w:rFonts w:asciiTheme="minorHAnsi" w:hAnsiTheme="minorHAnsi"/>
          <w:bCs/>
          <w:iCs/>
          <w:sz w:val="22"/>
          <w:szCs w:val="22"/>
          <w:lang w:val="sr-Cyrl-BA"/>
        </w:rPr>
        <w:t>s</w:t>
      </w:r>
      <w:r w:rsidRPr="00281D1F">
        <w:rPr>
          <w:rFonts w:asciiTheme="minorHAnsi" w:hAnsiTheme="minorHAnsi"/>
          <w:bCs/>
          <w:iCs/>
          <w:sz w:val="22"/>
          <w:szCs w:val="22"/>
          <w:lang w:val="sr-Cyrl-BA"/>
        </w:rPr>
        <w:t>tema za zimsku sezonu, ulogu regulatora u provođenju obligacionih šema energetske efikasnosti i odnose sa javnošću i komunikacije.</w:t>
      </w:r>
    </w:p>
    <w:p w:rsidR="005A1B74" w:rsidRPr="0037433A" w:rsidRDefault="005A1B74" w:rsidP="002D1E7C">
      <w:pPr>
        <w:spacing w:before="120" w:after="120"/>
        <w:jc w:val="both"/>
        <w:rPr>
          <w:rFonts w:asciiTheme="minorHAnsi" w:hAnsiTheme="minorHAnsi"/>
          <w:bCs/>
          <w:iCs/>
          <w:sz w:val="22"/>
          <w:szCs w:val="22"/>
          <w:lang w:val="sr-Cyrl-BA"/>
        </w:rPr>
      </w:pPr>
      <w:r>
        <w:rPr>
          <w:rFonts w:asciiTheme="minorHAnsi" w:hAnsiTheme="minorHAnsi"/>
          <w:bCs/>
          <w:iCs/>
          <w:sz w:val="22"/>
          <w:szCs w:val="22"/>
          <w:lang w:val="sr-Cyrl-BA"/>
        </w:rPr>
        <w:t xml:space="preserve">Završetkom petogodišnjeg projekta EIA 2024. godine, završene su aktivnosti sa Američkom </w:t>
      </w:r>
      <w:r w:rsidRPr="0037433A">
        <w:rPr>
          <w:rFonts w:asciiTheme="minorHAnsi" w:hAnsiTheme="minorHAnsi"/>
          <w:bCs/>
          <w:iCs/>
          <w:sz w:val="22"/>
          <w:szCs w:val="22"/>
          <w:lang w:val="sr-Cyrl-BA"/>
        </w:rPr>
        <w:t>organizacijom za međunarodni razvoj.</w:t>
      </w:r>
    </w:p>
    <w:p w:rsidR="005A1B74" w:rsidRPr="0037433A" w:rsidRDefault="005A1B74" w:rsidP="002D1E7C">
      <w:pPr>
        <w:spacing w:before="120" w:after="120"/>
        <w:jc w:val="both"/>
        <w:textAlignment w:val="baseline"/>
        <w:rPr>
          <w:rFonts w:asciiTheme="minorHAnsi" w:hAnsiTheme="minorHAnsi" w:cs="Arial"/>
          <w:sz w:val="22"/>
          <w:szCs w:val="22"/>
          <w:lang w:val="sr-Cyrl-BA" w:eastAsia="en-GB"/>
        </w:rPr>
      </w:pPr>
      <w:r w:rsidRPr="0037433A">
        <w:rPr>
          <w:rFonts w:asciiTheme="minorHAnsi" w:hAnsiTheme="minorHAnsi" w:cs="Arial"/>
          <w:sz w:val="22"/>
          <w:szCs w:val="22"/>
          <w:lang w:val="sr-Cyrl-BA" w:eastAsia="en-GB"/>
        </w:rPr>
        <w:t>U novembru 2022. godine pokrenut je trogodišnji projekat EU4Energy, odnosno projekat tehničke pomoći Evropske unije energetskom sektoru Bosne i Hercegovine.</w:t>
      </w:r>
    </w:p>
    <w:p w:rsidR="005A1B74" w:rsidRPr="0037433A" w:rsidRDefault="005A1B74" w:rsidP="002D1E7C">
      <w:pPr>
        <w:spacing w:before="120" w:after="120"/>
        <w:jc w:val="both"/>
        <w:textAlignment w:val="baseline"/>
        <w:rPr>
          <w:rFonts w:asciiTheme="minorHAnsi" w:hAnsiTheme="minorHAnsi" w:cs="Arial"/>
          <w:sz w:val="22"/>
          <w:szCs w:val="22"/>
          <w:lang w:val="sr-Cyrl-BA" w:eastAsia="en-GB"/>
        </w:rPr>
      </w:pPr>
      <w:r w:rsidRPr="0037433A">
        <w:rPr>
          <w:rFonts w:asciiTheme="minorHAnsi" w:hAnsiTheme="minorHAnsi" w:cs="Arial"/>
          <w:sz w:val="22"/>
          <w:szCs w:val="22"/>
          <w:lang w:val="sr-Cyrl-BA" w:eastAsia="en-GB"/>
        </w:rPr>
        <w:t>Svrha projekta je pružiti potrebnu tehničku pomoć za podršku sistematskoj reformi energetskog sektora u zemlji, uključujući ispunjavanje obaveza Bosne i Hercegovine iz Ugovora o uspostavljanju Energetske zajednice, Pariskog sporazuma o klimatskim promjenama i drugih relevantnih međunarodnih dokumenata.</w:t>
      </w:r>
    </w:p>
    <w:p w:rsidR="005A1B74" w:rsidRPr="0037433A" w:rsidRDefault="005A1B74" w:rsidP="002D1E7C">
      <w:pPr>
        <w:spacing w:before="120" w:after="120"/>
        <w:jc w:val="both"/>
        <w:textAlignment w:val="baseline"/>
        <w:rPr>
          <w:rFonts w:asciiTheme="minorHAnsi" w:hAnsiTheme="minorHAnsi" w:cs="Arial"/>
          <w:sz w:val="22"/>
          <w:szCs w:val="22"/>
          <w:lang w:val="sr-Cyrl-BA" w:eastAsia="en-GB"/>
        </w:rPr>
      </w:pPr>
      <w:r w:rsidRPr="0037433A">
        <w:rPr>
          <w:rFonts w:asciiTheme="minorHAnsi" w:hAnsiTheme="minorHAnsi" w:cs="Arial"/>
          <w:sz w:val="22"/>
          <w:szCs w:val="22"/>
          <w:lang w:val="sr-Cyrl-BA" w:eastAsia="en-GB"/>
        </w:rPr>
        <w:t>Regulatorna komisija za energetiku Republike Srpske učestvuje u realizaciji ovog projekta u skladu sa svojim nadležnostima.</w:t>
      </w:r>
    </w:p>
    <w:p w:rsidR="005A1B74" w:rsidRPr="00281D1F" w:rsidRDefault="005A1B74" w:rsidP="002D1E7C">
      <w:pPr>
        <w:pStyle w:val="Heading3"/>
        <w:numPr>
          <w:ilvl w:val="2"/>
          <w:numId w:val="32"/>
        </w:numPr>
        <w:spacing w:after="240"/>
        <w:rPr>
          <w:rFonts w:asciiTheme="minorHAnsi" w:hAnsiTheme="minorHAnsi"/>
          <w:sz w:val="24"/>
          <w:lang w:val="sr-Cyrl-BA"/>
        </w:rPr>
      </w:pPr>
      <w:bookmarkStart w:id="282" w:name="_Toc210301179"/>
      <w:r w:rsidRPr="0037433A">
        <w:rPr>
          <w:rFonts w:asciiTheme="minorHAnsi" w:hAnsiTheme="minorHAnsi"/>
          <w:sz w:val="24"/>
          <w:lang w:val="sr-Cyrl-BA"/>
        </w:rPr>
        <w:lastRenderedPageBreak/>
        <w:t>Učešće u radu konferencija</w:t>
      </w:r>
      <w:r w:rsidRPr="00281D1F">
        <w:rPr>
          <w:rFonts w:asciiTheme="minorHAnsi" w:hAnsiTheme="minorHAnsi"/>
          <w:sz w:val="24"/>
          <w:lang w:val="sr-Cyrl-BA"/>
        </w:rPr>
        <w:t>, seminara</w:t>
      </w:r>
      <w:bookmarkEnd w:id="273"/>
      <w:bookmarkEnd w:id="274"/>
      <w:bookmarkEnd w:id="275"/>
      <w:bookmarkEnd w:id="276"/>
      <w:bookmarkEnd w:id="277"/>
      <w:bookmarkEnd w:id="278"/>
      <w:bookmarkEnd w:id="279"/>
      <w:bookmarkEnd w:id="280"/>
      <w:r w:rsidRPr="00281D1F">
        <w:rPr>
          <w:rFonts w:asciiTheme="minorHAnsi" w:hAnsiTheme="minorHAnsi"/>
          <w:sz w:val="24"/>
          <w:lang w:val="sr-Cyrl-BA"/>
        </w:rPr>
        <w:t xml:space="preserve"> i drugih stručnih skupova</w:t>
      </w:r>
      <w:bookmarkEnd w:id="281"/>
      <w:bookmarkEnd w:id="282"/>
    </w:p>
    <w:p w:rsidR="005A1B74" w:rsidRPr="00281D1F" w:rsidRDefault="005A1B74" w:rsidP="002D1E7C">
      <w:pPr>
        <w:spacing w:after="120"/>
        <w:jc w:val="both"/>
        <w:rPr>
          <w:rFonts w:asciiTheme="minorHAnsi" w:hAnsiTheme="minorHAnsi" w:cs="Calibri"/>
          <w:sz w:val="22"/>
          <w:szCs w:val="22"/>
          <w:lang w:val="sr-Cyrl-BA"/>
        </w:rPr>
      </w:pPr>
      <w:r w:rsidRPr="00281D1F">
        <w:rPr>
          <w:rFonts w:asciiTheme="minorHAnsi" w:hAnsiTheme="minorHAnsi" w:cs="Calibri"/>
          <w:sz w:val="22"/>
          <w:szCs w:val="22"/>
          <w:lang w:val="sr-Cyrl-BA"/>
        </w:rPr>
        <w:t>Tokom 202</w:t>
      </w:r>
      <w:r>
        <w:rPr>
          <w:rFonts w:asciiTheme="minorHAnsi" w:hAnsiTheme="minorHAnsi" w:cs="Calibri"/>
          <w:sz w:val="22"/>
          <w:szCs w:val="22"/>
          <w:lang w:val="sr-Cyrl-BA"/>
        </w:rPr>
        <w:t>4</w:t>
      </w:r>
      <w:r w:rsidRPr="00281D1F">
        <w:rPr>
          <w:rFonts w:asciiTheme="minorHAnsi" w:hAnsiTheme="minorHAnsi" w:cs="Calibri"/>
          <w:sz w:val="22"/>
          <w:szCs w:val="22"/>
          <w:lang w:val="sr-Cyrl-BA"/>
        </w:rPr>
        <w:t xml:space="preserve">. godine, članovi i zaposleni Regulatorne komisije učestvovali su u radu konferencija, seminara i drugih stručnih skupova </w:t>
      </w:r>
      <w:r w:rsidRPr="00281D1F">
        <w:rPr>
          <w:rFonts w:asciiTheme="minorHAnsi" w:hAnsiTheme="minorHAnsi"/>
          <w:sz w:val="22"/>
          <w:szCs w:val="22"/>
          <w:lang w:val="sr-Cyrl-BA"/>
        </w:rPr>
        <w:t xml:space="preserve">koje organizuju druge institucije, a koji razmatraju problematiku koja je od značaja za regulatornu nadležnost komisije, tj. </w:t>
      </w:r>
      <w:r w:rsidRPr="00281D1F">
        <w:rPr>
          <w:rFonts w:asciiTheme="minorHAnsi" w:hAnsiTheme="minorHAnsi" w:cs="Calibri"/>
          <w:sz w:val="22"/>
          <w:szCs w:val="22"/>
          <w:lang w:val="sr-Cyrl-BA"/>
        </w:rPr>
        <w:t>koja se odnosi na regulaciju energetskog sektora i čiji je cilj unapređenje rada ovog sektora. Prisustvo i učešće članova i zaposlenih u radu ovih skupova prvenstveno se odnosi na:</w:t>
      </w:r>
    </w:p>
    <w:p w:rsidR="005A1B74" w:rsidRPr="00281D1F" w:rsidRDefault="005A1B74" w:rsidP="002D1E7C">
      <w:pPr>
        <w:numPr>
          <w:ilvl w:val="0"/>
          <w:numId w:val="8"/>
        </w:numPr>
        <w:jc w:val="both"/>
        <w:rPr>
          <w:rFonts w:asciiTheme="minorHAnsi" w:hAnsiTheme="minorHAnsi" w:cs="Calibri"/>
          <w:sz w:val="22"/>
          <w:szCs w:val="22"/>
          <w:lang w:val="sr-Cyrl-BA"/>
        </w:rPr>
      </w:pPr>
      <w:r w:rsidRPr="00281D1F">
        <w:rPr>
          <w:rFonts w:asciiTheme="minorHAnsi" w:hAnsiTheme="minorHAnsi" w:cs="Calibri"/>
          <w:sz w:val="22"/>
          <w:szCs w:val="22"/>
          <w:lang w:val="sr-Cyrl-BA"/>
        </w:rPr>
        <w:t xml:space="preserve">nadziranje tržišta energije, </w:t>
      </w:r>
    </w:p>
    <w:p w:rsidR="005A1B74" w:rsidRPr="00281D1F" w:rsidRDefault="005A1B74" w:rsidP="002D1E7C">
      <w:pPr>
        <w:numPr>
          <w:ilvl w:val="0"/>
          <w:numId w:val="8"/>
        </w:numPr>
        <w:jc w:val="both"/>
        <w:rPr>
          <w:rFonts w:asciiTheme="minorHAnsi" w:hAnsiTheme="minorHAnsi" w:cs="Calibri"/>
          <w:sz w:val="22"/>
          <w:szCs w:val="22"/>
          <w:lang w:val="sr-Cyrl-BA"/>
        </w:rPr>
      </w:pPr>
      <w:r w:rsidRPr="00281D1F">
        <w:rPr>
          <w:rFonts w:asciiTheme="minorHAnsi" w:hAnsiTheme="minorHAnsi" w:cs="Calibri"/>
          <w:sz w:val="22"/>
          <w:szCs w:val="22"/>
          <w:lang w:val="sr-Cyrl-BA"/>
        </w:rPr>
        <w:t>regulaciju cijena i tarifa,</w:t>
      </w:r>
    </w:p>
    <w:p w:rsidR="005A1B74" w:rsidRPr="00281D1F" w:rsidRDefault="005A1B74" w:rsidP="002D1E7C">
      <w:pPr>
        <w:numPr>
          <w:ilvl w:val="0"/>
          <w:numId w:val="8"/>
        </w:numPr>
        <w:jc w:val="both"/>
        <w:rPr>
          <w:rFonts w:asciiTheme="minorHAnsi" w:hAnsiTheme="minorHAnsi" w:cs="Calibri"/>
          <w:sz w:val="22"/>
          <w:szCs w:val="22"/>
          <w:lang w:val="sr-Cyrl-BA"/>
        </w:rPr>
      </w:pPr>
      <w:r w:rsidRPr="00281D1F">
        <w:rPr>
          <w:rFonts w:asciiTheme="minorHAnsi" w:hAnsiTheme="minorHAnsi" w:cs="Calibri"/>
          <w:sz w:val="22"/>
          <w:szCs w:val="22"/>
          <w:lang w:val="sr-Cyrl-BA"/>
        </w:rPr>
        <w:t>obnovljive izvore energije,</w:t>
      </w:r>
    </w:p>
    <w:p w:rsidR="005A1B74" w:rsidRPr="00281D1F" w:rsidRDefault="005A1B74" w:rsidP="002D1E7C">
      <w:pPr>
        <w:numPr>
          <w:ilvl w:val="0"/>
          <w:numId w:val="8"/>
        </w:numPr>
        <w:jc w:val="both"/>
        <w:rPr>
          <w:rFonts w:asciiTheme="minorHAnsi" w:hAnsiTheme="minorHAnsi" w:cs="Calibri"/>
          <w:sz w:val="22"/>
          <w:szCs w:val="22"/>
          <w:lang w:val="sr-Cyrl-BA"/>
        </w:rPr>
      </w:pPr>
      <w:r w:rsidRPr="00281D1F">
        <w:rPr>
          <w:rFonts w:asciiTheme="minorHAnsi" w:hAnsiTheme="minorHAnsi" w:cs="Calibri"/>
          <w:sz w:val="22"/>
          <w:szCs w:val="22"/>
          <w:lang w:val="sr-Cyrl-BA"/>
        </w:rPr>
        <w:t>regulaciju sektora prirodnog gasa,</w:t>
      </w:r>
    </w:p>
    <w:p w:rsidR="005A1B74" w:rsidRPr="00281D1F" w:rsidRDefault="005A1B74" w:rsidP="002D1E7C">
      <w:pPr>
        <w:numPr>
          <w:ilvl w:val="0"/>
          <w:numId w:val="8"/>
        </w:numPr>
        <w:jc w:val="both"/>
        <w:rPr>
          <w:rFonts w:asciiTheme="minorHAnsi" w:hAnsiTheme="minorHAnsi" w:cs="Calibri"/>
          <w:sz w:val="22"/>
          <w:szCs w:val="22"/>
          <w:lang w:val="sr-Cyrl-BA"/>
        </w:rPr>
      </w:pPr>
      <w:r w:rsidRPr="00281D1F">
        <w:rPr>
          <w:rFonts w:asciiTheme="minorHAnsi" w:hAnsiTheme="minorHAnsi" w:cs="Calibri"/>
          <w:sz w:val="22"/>
          <w:szCs w:val="22"/>
          <w:lang w:val="sr-Cyrl-BA"/>
        </w:rPr>
        <w:t>regulaciju sektora nafte,</w:t>
      </w:r>
    </w:p>
    <w:p w:rsidR="005A1B74" w:rsidRPr="00281D1F" w:rsidRDefault="005A1B74" w:rsidP="002D1E7C">
      <w:pPr>
        <w:numPr>
          <w:ilvl w:val="0"/>
          <w:numId w:val="8"/>
        </w:numPr>
        <w:jc w:val="both"/>
        <w:rPr>
          <w:rFonts w:asciiTheme="minorHAnsi" w:hAnsiTheme="minorHAnsi" w:cs="Calibri"/>
          <w:sz w:val="22"/>
          <w:szCs w:val="22"/>
          <w:lang w:val="sr-Cyrl-BA"/>
        </w:rPr>
      </w:pPr>
      <w:r w:rsidRPr="00281D1F">
        <w:rPr>
          <w:rFonts w:asciiTheme="minorHAnsi" w:hAnsiTheme="minorHAnsi" w:cs="Calibri"/>
          <w:sz w:val="22"/>
          <w:szCs w:val="22"/>
          <w:lang w:val="sr-Cyrl-BA"/>
        </w:rPr>
        <w:t>investiranje u energetskom sektoru,</w:t>
      </w:r>
    </w:p>
    <w:p w:rsidR="005A1B74" w:rsidRPr="00281D1F" w:rsidRDefault="005A1B74" w:rsidP="002D1E7C">
      <w:pPr>
        <w:numPr>
          <w:ilvl w:val="0"/>
          <w:numId w:val="8"/>
        </w:numPr>
        <w:jc w:val="both"/>
        <w:rPr>
          <w:rFonts w:asciiTheme="minorHAnsi" w:hAnsiTheme="minorHAnsi" w:cs="Calibri"/>
          <w:sz w:val="22"/>
          <w:szCs w:val="22"/>
          <w:lang w:val="sr-Cyrl-BA"/>
        </w:rPr>
      </w:pPr>
      <w:r w:rsidRPr="00281D1F">
        <w:rPr>
          <w:rFonts w:asciiTheme="minorHAnsi" w:hAnsiTheme="minorHAnsi" w:cs="Calibri"/>
          <w:sz w:val="22"/>
          <w:szCs w:val="22"/>
          <w:lang w:val="sr-Cyrl-BA"/>
        </w:rPr>
        <w:t>međunarodne računovodstvene standarde,</w:t>
      </w:r>
    </w:p>
    <w:p w:rsidR="005A1B74" w:rsidRPr="00281D1F" w:rsidRDefault="005A1B74" w:rsidP="002D1E7C">
      <w:pPr>
        <w:numPr>
          <w:ilvl w:val="0"/>
          <w:numId w:val="8"/>
        </w:numPr>
        <w:jc w:val="both"/>
        <w:rPr>
          <w:rFonts w:asciiTheme="minorHAnsi" w:hAnsiTheme="minorHAnsi" w:cs="Calibri"/>
          <w:sz w:val="22"/>
          <w:szCs w:val="22"/>
          <w:lang w:val="sr-Cyrl-BA"/>
        </w:rPr>
      </w:pPr>
      <w:r w:rsidRPr="00281D1F">
        <w:rPr>
          <w:rFonts w:asciiTheme="minorHAnsi" w:hAnsiTheme="minorHAnsi" w:cs="Calibri"/>
          <w:sz w:val="22"/>
          <w:szCs w:val="22"/>
          <w:lang w:val="sr-Cyrl-BA"/>
        </w:rPr>
        <w:t>zaštitu životne sredine i izazove klimatskih promjena,</w:t>
      </w:r>
    </w:p>
    <w:p w:rsidR="005A1B74" w:rsidRPr="00281D1F" w:rsidRDefault="005A1B74" w:rsidP="002D1E7C">
      <w:pPr>
        <w:numPr>
          <w:ilvl w:val="0"/>
          <w:numId w:val="8"/>
        </w:numPr>
        <w:jc w:val="both"/>
        <w:rPr>
          <w:rFonts w:asciiTheme="minorHAnsi" w:hAnsiTheme="minorHAnsi" w:cs="Calibri"/>
          <w:sz w:val="22"/>
          <w:szCs w:val="22"/>
          <w:lang w:val="sr-Cyrl-BA"/>
        </w:rPr>
      </w:pPr>
      <w:r w:rsidRPr="00281D1F">
        <w:rPr>
          <w:rFonts w:asciiTheme="minorHAnsi" w:hAnsiTheme="minorHAnsi" w:cs="Calibri"/>
          <w:sz w:val="22"/>
          <w:szCs w:val="22"/>
          <w:lang w:val="sr-Cyrl-BA"/>
        </w:rPr>
        <w:t>energetsku efikasnost i</w:t>
      </w:r>
    </w:p>
    <w:p w:rsidR="005A1B74" w:rsidRPr="00281D1F" w:rsidRDefault="005A1B74" w:rsidP="002D1E7C">
      <w:pPr>
        <w:numPr>
          <w:ilvl w:val="0"/>
          <w:numId w:val="8"/>
        </w:numPr>
        <w:spacing w:after="120"/>
        <w:jc w:val="both"/>
        <w:rPr>
          <w:rFonts w:asciiTheme="minorHAnsi" w:hAnsiTheme="minorHAnsi" w:cs="Calibri"/>
          <w:sz w:val="22"/>
          <w:szCs w:val="22"/>
          <w:lang w:val="sr-Cyrl-BA"/>
        </w:rPr>
      </w:pPr>
      <w:r w:rsidRPr="00281D1F">
        <w:rPr>
          <w:rFonts w:asciiTheme="minorHAnsi" w:hAnsiTheme="minorHAnsi" w:cs="Calibri"/>
          <w:sz w:val="22"/>
          <w:szCs w:val="22"/>
          <w:lang w:val="sr-Cyrl-BA"/>
        </w:rPr>
        <w:t>energetsku budućnost Balkana.</w:t>
      </w:r>
    </w:p>
    <w:p w:rsidR="005A1B74" w:rsidRPr="00281D1F" w:rsidRDefault="005A1B74" w:rsidP="002D1E7C">
      <w:pPr>
        <w:spacing w:before="120" w:after="240"/>
        <w:jc w:val="both"/>
        <w:rPr>
          <w:rFonts w:asciiTheme="minorHAnsi" w:hAnsiTheme="minorHAnsi" w:cs="Calibri"/>
          <w:sz w:val="22"/>
          <w:szCs w:val="22"/>
          <w:lang w:val="sr-Cyrl-BA"/>
        </w:rPr>
      </w:pPr>
      <w:r w:rsidRPr="00281D1F">
        <w:rPr>
          <w:rFonts w:asciiTheme="minorHAnsi" w:hAnsiTheme="minorHAnsi" w:cs="Calibri"/>
          <w:sz w:val="22"/>
          <w:szCs w:val="22"/>
          <w:lang w:val="sr-Cyrl-BA"/>
        </w:rPr>
        <w:t>Obezbjeđujući prisustvo i aktivan rad na pomenutim skupovima, predstavnici Regulatorne komisije daju podršku boljoj formulaciji mjera i pravaca djelovanja, te predstavljanju interesa energetskog sektora iz Republike Srpske na pravilan način.</w:t>
      </w:r>
    </w:p>
    <w:p w:rsidR="005A1B74" w:rsidRPr="00281D1F" w:rsidRDefault="005A1B74" w:rsidP="002D1E7C">
      <w:pPr>
        <w:pStyle w:val="Heading3"/>
        <w:numPr>
          <w:ilvl w:val="0"/>
          <w:numId w:val="32"/>
        </w:numPr>
        <w:spacing w:after="240"/>
        <w:rPr>
          <w:rFonts w:asciiTheme="minorHAnsi" w:hAnsiTheme="minorHAnsi" w:cs="Calibri"/>
          <w:bCs w:val="0"/>
          <w:lang w:val="sr-Cyrl-BA"/>
        </w:rPr>
      </w:pPr>
      <w:bookmarkStart w:id="283" w:name="_Toc230868159"/>
      <w:bookmarkStart w:id="284" w:name="_Toc293411101"/>
      <w:bookmarkStart w:id="285" w:name="_Toc293414789"/>
      <w:bookmarkStart w:id="286" w:name="_Toc293563739"/>
      <w:bookmarkStart w:id="287" w:name="_Toc358640060"/>
      <w:bookmarkStart w:id="288" w:name="_Toc358640278"/>
      <w:bookmarkStart w:id="289" w:name="_Toc358640496"/>
      <w:bookmarkStart w:id="290" w:name="_Toc358640920"/>
      <w:r w:rsidRPr="00281D1F">
        <w:rPr>
          <w:rFonts w:asciiTheme="minorHAnsi" w:hAnsiTheme="minorHAnsi" w:cs="Calibri"/>
          <w:bCs w:val="0"/>
          <w:sz w:val="28"/>
          <w:szCs w:val="28"/>
          <w:lang w:val="sr-Cyrl-BA"/>
        </w:rPr>
        <w:tab/>
      </w:r>
      <w:bookmarkStart w:id="291" w:name="_Toc210301180"/>
      <w:r w:rsidRPr="00281D1F">
        <w:rPr>
          <w:rFonts w:asciiTheme="minorHAnsi" w:hAnsiTheme="minorHAnsi"/>
          <w:sz w:val="28"/>
          <w:lang w:val="sr-Cyrl-BA"/>
        </w:rPr>
        <w:t>Zaposleni, organizacija i javnost rada</w:t>
      </w:r>
      <w:bookmarkEnd w:id="283"/>
      <w:bookmarkEnd w:id="284"/>
      <w:bookmarkEnd w:id="285"/>
      <w:bookmarkEnd w:id="286"/>
      <w:bookmarkEnd w:id="287"/>
      <w:bookmarkEnd w:id="288"/>
      <w:bookmarkEnd w:id="289"/>
      <w:bookmarkEnd w:id="290"/>
      <w:bookmarkEnd w:id="291"/>
    </w:p>
    <w:p w:rsidR="005A1B74" w:rsidRPr="00281D1F" w:rsidRDefault="005A1B74" w:rsidP="002D1E7C">
      <w:pPr>
        <w:pStyle w:val="Heading2"/>
        <w:numPr>
          <w:ilvl w:val="1"/>
          <w:numId w:val="16"/>
        </w:numPr>
        <w:spacing w:after="120"/>
        <w:ind w:left="709"/>
        <w:rPr>
          <w:rFonts w:asciiTheme="minorHAnsi" w:hAnsiTheme="minorHAnsi"/>
          <w:i w:val="0"/>
          <w:sz w:val="26"/>
          <w:szCs w:val="26"/>
          <w:lang w:val="sr-Cyrl-BA"/>
        </w:rPr>
      </w:pPr>
      <w:bookmarkStart w:id="292" w:name="_Toc230868160"/>
      <w:bookmarkStart w:id="293" w:name="_Toc293411102"/>
      <w:bookmarkStart w:id="294" w:name="_Toc293414790"/>
      <w:bookmarkStart w:id="295" w:name="_Toc293563740"/>
      <w:bookmarkStart w:id="296" w:name="_Toc358640061"/>
      <w:bookmarkStart w:id="297" w:name="_Toc358640279"/>
      <w:bookmarkStart w:id="298" w:name="_Toc358640497"/>
      <w:bookmarkStart w:id="299" w:name="_Toc358640921"/>
      <w:bookmarkStart w:id="300" w:name="_Toc210301181"/>
      <w:r w:rsidRPr="00281D1F">
        <w:rPr>
          <w:rFonts w:asciiTheme="minorHAnsi" w:hAnsiTheme="minorHAnsi"/>
          <w:i w:val="0"/>
          <w:sz w:val="26"/>
          <w:szCs w:val="26"/>
          <w:lang w:val="sr-Cyrl-BA"/>
        </w:rPr>
        <w:t>Zaposleni i organizacija rada u Regulatornoj komisij</w:t>
      </w:r>
      <w:bookmarkEnd w:id="292"/>
      <w:bookmarkEnd w:id="293"/>
      <w:bookmarkEnd w:id="294"/>
      <w:bookmarkEnd w:id="295"/>
      <w:bookmarkEnd w:id="296"/>
      <w:bookmarkEnd w:id="297"/>
      <w:bookmarkEnd w:id="298"/>
      <w:bookmarkEnd w:id="299"/>
      <w:r w:rsidRPr="00281D1F">
        <w:rPr>
          <w:rFonts w:asciiTheme="minorHAnsi" w:hAnsiTheme="minorHAnsi"/>
          <w:i w:val="0"/>
          <w:sz w:val="26"/>
          <w:szCs w:val="26"/>
          <w:lang w:val="sr-Cyrl-BA"/>
        </w:rPr>
        <w:t>i</w:t>
      </w:r>
      <w:bookmarkEnd w:id="300"/>
    </w:p>
    <w:p w:rsidR="005A1B74" w:rsidRPr="00281D1F" w:rsidRDefault="005A1B74" w:rsidP="002D1E7C">
      <w:pPr>
        <w:spacing w:after="120"/>
        <w:jc w:val="both"/>
        <w:rPr>
          <w:rFonts w:asciiTheme="minorHAnsi" w:hAnsiTheme="minorHAnsi" w:cs="Calibri"/>
          <w:sz w:val="22"/>
          <w:szCs w:val="22"/>
          <w:lang w:val="sr-Cyrl-BA"/>
        </w:rPr>
      </w:pPr>
      <w:r w:rsidRPr="00281D1F">
        <w:rPr>
          <w:rFonts w:asciiTheme="minorHAnsi" w:hAnsiTheme="minorHAnsi" w:cs="Calibri"/>
          <w:sz w:val="22"/>
          <w:szCs w:val="22"/>
          <w:lang w:val="sr-Cyrl-BA"/>
        </w:rPr>
        <w:t>Rad Regulatorne komisije organizovan je i odvija se kroz samu Regulatornu komisiju i njen</w:t>
      </w:r>
      <w:r>
        <w:rPr>
          <w:rFonts w:asciiTheme="minorHAnsi" w:hAnsiTheme="minorHAnsi" w:cs="Calibri"/>
          <w:sz w:val="22"/>
          <w:szCs w:val="22"/>
        </w:rPr>
        <w:t>e</w:t>
      </w:r>
      <w:r w:rsidRPr="00281D1F">
        <w:rPr>
          <w:rFonts w:asciiTheme="minorHAnsi" w:hAnsiTheme="minorHAnsi" w:cs="Calibri"/>
          <w:sz w:val="22"/>
          <w:szCs w:val="22"/>
          <w:lang w:val="sr-Cyrl-BA"/>
        </w:rPr>
        <w:t xml:space="preserve"> sektor</w:t>
      </w:r>
      <w:r>
        <w:rPr>
          <w:rFonts w:asciiTheme="minorHAnsi" w:hAnsiTheme="minorHAnsi" w:cs="Calibri"/>
          <w:sz w:val="22"/>
          <w:szCs w:val="22"/>
        </w:rPr>
        <w:t>e</w:t>
      </w:r>
      <w:r w:rsidRPr="00281D1F">
        <w:rPr>
          <w:rFonts w:asciiTheme="minorHAnsi" w:hAnsiTheme="minorHAnsi" w:cs="Calibri"/>
          <w:sz w:val="22"/>
          <w:szCs w:val="22"/>
          <w:lang w:val="sr-Cyrl-BA"/>
        </w:rPr>
        <w:t>, kako slijedi:</w:t>
      </w:r>
    </w:p>
    <w:p w:rsidR="005A1B74" w:rsidRPr="00281D1F" w:rsidRDefault="005A1B74" w:rsidP="002D1E7C">
      <w:pPr>
        <w:pStyle w:val="ListParagraph"/>
        <w:numPr>
          <w:ilvl w:val="0"/>
          <w:numId w:val="25"/>
        </w:numPr>
        <w:ind w:left="357" w:hanging="357"/>
        <w:jc w:val="both"/>
        <w:rPr>
          <w:rFonts w:asciiTheme="minorHAnsi" w:hAnsiTheme="minorHAnsi" w:cs="Calibri"/>
          <w:sz w:val="22"/>
          <w:szCs w:val="22"/>
          <w:lang w:val="sr-Cyrl-BA"/>
        </w:rPr>
      </w:pPr>
      <w:r w:rsidRPr="00281D1F">
        <w:rPr>
          <w:rFonts w:asciiTheme="minorHAnsi" w:hAnsiTheme="minorHAnsi" w:cs="Calibri"/>
          <w:sz w:val="22"/>
          <w:szCs w:val="22"/>
          <w:lang w:val="sr-Cyrl-BA"/>
        </w:rPr>
        <w:t>Sektor za tarife i tržište,</w:t>
      </w:r>
    </w:p>
    <w:p w:rsidR="005A1B74" w:rsidRPr="00281D1F" w:rsidRDefault="005A1B74" w:rsidP="002D1E7C">
      <w:pPr>
        <w:pStyle w:val="ListParagraph"/>
        <w:numPr>
          <w:ilvl w:val="0"/>
          <w:numId w:val="25"/>
        </w:numPr>
        <w:ind w:left="357" w:hanging="357"/>
        <w:jc w:val="both"/>
        <w:rPr>
          <w:rFonts w:asciiTheme="minorHAnsi" w:hAnsiTheme="minorHAnsi" w:cs="Calibri"/>
          <w:sz w:val="22"/>
          <w:szCs w:val="22"/>
          <w:lang w:val="sr-Cyrl-BA"/>
        </w:rPr>
      </w:pPr>
      <w:r w:rsidRPr="00281D1F">
        <w:rPr>
          <w:rFonts w:asciiTheme="minorHAnsi" w:hAnsiTheme="minorHAnsi" w:cs="Calibri"/>
          <w:sz w:val="22"/>
          <w:szCs w:val="22"/>
          <w:lang w:val="sr-Cyrl-BA"/>
        </w:rPr>
        <w:t>Sektor za dozvole i tehnička pitanja,</w:t>
      </w:r>
    </w:p>
    <w:p w:rsidR="005A1B74" w:rsidRPr="00281D1F" w:rsidRDefault="005A1B74" w:rsidP="002D1E7C">
      <w:pPr>
        <w:pStyle w:val="ListParagraph"/>
        <w:numPr>
          <w:ilvl w:val="0"/>
          <w:numId w:val="25"/>
        </w:numPr>
        <w:ind w:left="357" w:hanging="357"/>
        <w:jc w:val="both"/>
        <w:rPr>
          <w:rFonts w:asciiTheme="minorHAnsi" w:hAnsiTheme="minorHAnsi" w:cs="Calibri"/>
          <w:sz w:val="22"/>
          <w:szCs w:val="22"/>
          <w:lang w:val="sr-Cyrl-BA"/>
        </w:rPr>
      </w:pPr>
      <w:r w:rsidRPr="00281D1F">
        <w:rPr>
          <w:rFonts w:asciiTheme="minorHAnsi" w:hAnsiTheme="minorHAnsi" w:cs="Calibri"/>
          <w:sz w:val="22"/>
          <w:szCs w:val="22"/>
          <w:lang w:val="sr-Cyrl-BA"/>
        </w:rPr>
        <w:t>Sektor za opšte i pravne poslove</w:t>
      </w:r>
      <w:r>
        <w:rPr>
          <w:rFonts w:asciiTheme="minorHAnsi" w:hAnsiTheme="minorHAnsi" w:cs="Calibri"/>
          <w:sz w:val="22"/>
          <w:szCs w:val="22"/>
          <w:lang w:val="sr-Cyrl-BA"/>
        </w:rPr>
        <w:t>,</w:t>
      </w:r>
    </w:p>
    <w:p w:rsidR="005A1B74" w:rsidRDefault="005A1B74" w:rsidP="002D1E7C">
      <w:pPr>
        <w:pStyle w:val="ListParagraph"/>
        <w:numPr>
          <w:ilvl w:val="0"/>
          <w:numId w:val="25"/>
        </w:numPr>
        <w:ind w:left="357" w:hanging="357"/>
        <w:jc w:val="both"/>
        <w:rPr>
          <w:rFonts w:asciiTheme="minorHAnsi" w:hAnsiTheme="minorHAnsi" w:cs="Calibri"/>
          <w:sz w:val="22"/>
          <w:szCs w:val="22"/>
          <w:lang w:val="sr-Cyrl-BA"/>
        </w:rPr>
      </w:pPr>
      <w:r w:rsidRPr="00281D1F">
        <w:rPr>
          <w:rFonts w:asciiTheme="minorHAnsi" w:hAnsiTheme="minorHAnsi" w:cs="Calibri"/>
          <w:sz w:val="22"/>
          <w:szCs w:val="22"/>
          <w:lang w:val="sr-Cyrl-BA"/>
        </w:rPr>
        <w:t>Sektor za finansijske poslove</w:t>
      </w:r>
      <w:r>
        <w:rPr>
          <w:rFonts w:asciiTheme="minorHAnsi" w:hAnsiTheme="minorHAnsi" w:cs="Calibri"/>
          <w:sz w:val="22"/>
          <w:szCs w:val="22"/>
          <w:lang w:val="sr-Latn-BA"/>
        </w:rPr>
        <w:t xml:space="preserve"> </w:t>
      </w:r>
      <w:r>
        <w:rPr>
          <w:rFonts w:asciiTheme="minorHAnsi" w:hAnsiTheme="minorHAnsi" w:cs="Calibri"/>
          <w:sz w:val="22"/>
          <w:szCs w:val="22"/>
          <w:lang w:val="sr-Cyrl-RS"/>
        </w:rPr>
        <w:t>i</w:t>
      </w:r>
    </w:p>
    <w:p w:rsidR="005A1B74" w:rsidRPr="00281D1F" w:rsidRDefault="005A1B74" w:rsidP="002D1E7C">
      <w:pPr>
        <w:pStyle w:val="ListParagraph"/>
        <w:numPr>
          <w:ilvl w:val="0"/>
          <w:numId w:val="25"/>
        </w:numPr>
        <w:ind w:left="357" w:hanging="357"/>
        <w:jc w:val="both"/>
        <w:rPr>
          <w:rFonts w:asciiTheme="minorHAnsi" w:hAnsiTheme="minorHAnsi" w:cs="Calibri"/>
          <w:sz w:val="22"/>
          <w:szCs w:val="22"/>
          <w:lang w:val="sr-Cyrl-BA"/>
        </w:rPr>
      </w:pPr>
      <w:r>
        <w:rPr>
          <w:rFonts w:asciiTheme="minorHAnsi" w:hAnsiTheme="minorHAnsi" w:cs="Calibri"/>
          <w:sz w:val="22"/>
          <w:szCs w:val="22"/>
          <w:lang w:val="sr-Cyrl-BA"/>
        </w:rPr>
        <w:t>Sekretarijat.</w:t>
      </w:r>
    </w:p>
    <w:p w:rsidR="005A1B74" w:rsidRPr="00281D1F" w:rsidRDefault="005A1B74" w:rsidP="002D1E7C">
      <w:pPr>
        <w:spacing w:before="120" w:after="120"/>
        <w:jc w:val="both"/>
        <w:rPr>
          <w:rFonts w:asciiTheme="minorHAnsi" w:hAnsiTheme="minorHAnsi"/>
          <w:highlight w:val="lightGray"/>
          <w:lang w:val="sr-Cyrl-BA"/>
        </w:rPr>
      </w:pPr>
      <w:r w:rsidRPr="00281D1F">
        <w:rPr>
          <w:rFonts w:asciiTheme="minorHAnsi" w:hAnsiTheme="minorHAnsi" w:cs="Calibri"/>
          <w:sz w:val="22"/>
          <w:szCs w:val="22"/>
          <w:lang w:val="sr-Cyrl-BA"/>
        </w:rPr>
        <w:t xml:space="preserve">Svi zaposleni ispunjavaju uslove propisane u skladu sa </w:t>
      </w:r>
      <w:r w:rsidRPr="00281D1F">
        <w:rPr>
          <w:rFonts w:asciiTheme="minorHAnsi" w:hAnsiTheme="minorHAnsi"/>
          <w:sz w:val="22"/>
          <w:szCs w:val="22"/>
          <w:lang w:val="sr-Cyrl-BA"/>
        </w:rPr>
        <w:t xml:space="preserve">Pravilnikom o radu i Pravilnikom o unutrašnjoj organizaciji i sistematizaciji radnih mjesta Regulatorne komisije za energetiku Republike Srpske </w:t>
      </w:r>
      <w:r w:rsidRPr="00281D1F">
        <w:rPr>
          <w:rFonts w:asciiTheme="minorHAnsi" w:hAnsiTheme="minorHAnsi" w:cs="Calibri"/>
          <w:sz w:val="22"/>
          <w:szCs w:val="22"/>
          <w:lang w:val="sr-Cyrl-BA"/>
        </w:rPr>
        <w:t xml:space="preserve">i stručno su osposobljeni za poslove koje obavljaju. </w:t>
      </w:r>
    </w:p>
    <w:p w:rsidR="005A1B74" w:rsidRPr="00281D1F" w:rsidRDefault="005A1B74" w:rsidP="002D1E7C">
      <w:pPr>
        <w:pStyle w:val="Heading2"/>
        <w:numPr>
          <w:ilvl w:val="1"/>
          <w:numId w:val="16"/>
        </w:numPr>
        <w:spacing w:after="120"/>
        <w:ind w:left="709"/>
        <w:rPr>
          <w:rFonts w:asciiTheme="minorHAnsi" w:hAnsiTheme="minorHAnsi"/>
          <w:i w:val="0"/>
          <w:sz w:val="26"/>
          <w:szCs w:val="26"/>
          <w:lang w:val="sr-Cyrl-BA"/>
        </w:rPr>
      </w:pPr>
      <w:bookmarkStart w:id="301" w:name="_Toc453313429"/>
      <w:bookmarkStart w:id="302" w:name="_Toc453313537"/>
      <w:bookmarkStart w:id="303" w:name="_Toc453313756"/>
      <w:bookmarkStart w:id="304" w:name="_Toc454800236"/>
      <w:bookmarkStart w:id="305" w:name="_Toc454800415"/>
      <w:bookmarkStart w:id="306" w:name="_Toc454800527"/>
      <w:bookmarkStart w:id="307" w:name="_Toc454800639"/>
      <w:bookmarkStart w:id="308" w:name="_Toc454800750"/>
      <w:bookmarkStart w:id="309" w:name="_Toc454800861"/>
      <w:bookmarkStart w:id="310" w:name="_Toc454800971"/>
      <w:bookmarkStart w:id="311" w:name="_Toc454801555"/>
      <w:bookmarkStart w:id="312" w:name="_Toc454801665"/>
      <w:bookmarkStart w:id="313" w:name="_Toc454801818"/>
      <w:bookmarkStart w:id="314" w:name="_Toc454801999"/>
      <w:bookmarkStart w:id="315" w:name="_Toc230868161"/>
      <w:bookmarkStart w:id="316" w:name="_Toc293411103"/>
      <w:bookmarkStart w:id="317" w:name="_Toc293414791"/>
      <w:bookmarkStart w:id="318" w:name="_Toc293563741"/>
      <w:bookmarkStart w:id="319" w:name="_Toc358640062"/>
      <w:bookmarkStart w:id="320" w:name="_Toc358640280"/>
      <w:bookmarkStart w:id="321" w:name="_Toc358640498"/>
      <w:bookmarkStart w:id="322" w:name="_Toc358640922"/>
      <w:bookmarkStart w:id="323" w:name="_Toc210301182"/>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r w:rsidRPr="00281D1F">
        <w:rPr>
          <w:rFonts w:asciiTheme="minorHAnsi" w:hAnsiTheme="minorHAnsi"/>
          <w:i w:val="0"/>
          <w:sz w:val="26"/>
          <w:szCs w:val="26"/>
          <w:lang w:val="sr-Cyrl-BA"/>
        </w:rPr>
        <w:t>Javnost rada Regulatorne komisije</w:t>
      </w:r>
      <w:bookmarkEnd w:id="315"/>
      <w:bookmarkEnd w:id="316"/>
      <w:bookmarkEnd w:id="317"/>
      <w:bookmarkEnd w:id="318"/>
      <w:bookmarkEnd w:id="319"/>
      <w:bookmarkEnd w:id="320"/>
      <w:bookmarkEnd w:id="321"/>
      <w:bookmarkEnd w:id="322"/>
      <w:bookmarkEnd w:id="323"/>
    </w:p>
    <w:p w:rsidR="005A1B74" w:rsidRPr="00281D1F" w:rsidRDefault="005A1B74" w:rsidP="002D1E7C">
      <w:pPr>
        <w:spacing w:after="120"/>
        <w:jc w:val="both"/>
        <w:rPr>
          <w:rFonts w:asciiTheme="minorHAnsi" w:hAnsiTheme="minorHAnsi" w:cs="Calibri"/>
          <w:i/>
          <w:sz w:val="22"/>
          <w:szCs w:val="22"/>
          <w:lang w:val="sr-Cyrl-BA"/>
        </w:rPr>
      </w:pPr>
      <w:bookmarkStart w:id="324" w:name="_Toc230940910"/>
      <w:bookmarkStart w:id="325" w:name="_Toc293411104"/>
      <w:bookmarkStart w:id="326" w:name="_Toc293414792"/>
      <w:bookmarkStart w:id="327" w:name="_Toc293563742"/>
      <w:bookmarkStart w:id="328" w:name="_Toc358640063"/>
      <w:bookmarkStart w:id="329" w:name="_Toc358640281"/>
      <w:bookmarkStart w:id="330" w:name="_Toc358640499"/>
      <w:bookmarkStart w:id="331" w:name="_Toc358640923"/>
      <w:r w:rsidRPr="00281D1F">
        <w:rPr>
          <w:rFonts w:asciiTheme="minorHAnsi" w:hAnsiTheme="minorHAnsi" w:cs="Calibri"/>
          <w:sz w:val="22"/>
          <w:szCs w:val="22"/>
          <w:lang w:val="sr-Cyrl-BA"/>
        </w:rPr>
        <w:t xml:space="preserve">Otvorenost prema javnosti, putem javnih razmatranja, te komunikaciju sa svim zainteresovanim predstavnicima stručne, ali i šire javnosti, temeljna je orjentacija u radu Regulatorne komisije, koja pomaže provjeri ispravnosti predloženih rješenja prije njihovog konačnog usvajanja. I u protekloj godini, Regulatorna komisija je ostvarila kontakte sa predstavnicima medijskih kuća i širom javnošću uopšte. Stekavši više spoznaja o radu i aktivnostima Regulatorne komisije, javnost je pokazala veći interes i time se više raspitivala za djelokrug rada Regulatorne komisije. Sem zvaničnih obraćanja javnih servisa, u protekloj godini Regulatornoj komisiji je upućen značajan broj pojedinačnih zahtjeva, kako od strane fizičkih tako i pravnih lica. Analizirajući segmente interesovanja javnosti, Regulatorna komisija redovno ažurira odgovarajuće sekcije na svojoj internet stranici. </w:t>
      </w:r>
    </w:p>
    <w:p w:rsidR="005A1B74" w:rsidRPr="00281D1F" w:rsidRDefault="005A1B74" w:rsidP="002D1E7C">
      <w:pPr>
        <w:spacing w:before="120" w:after="120"/>
        <w:jc w:val="both"/>
        <w:rPr>
          <w:rFonts w:asciiTheme="minorHAnsi" w:hAnsiTheme="minorHAnsi" w:cs="Calibri"/>
          <w:sz w:val="22"/>
          <w:szCs w:val="22"/>
          <w:lang w:val="sr-Cyrl-BA"/>
        </w:rPr>
      </w:pPr>
      <w:r w:rsidRPr="00281D1F">
        <w:rPr>
          <w:rFonts w:asciiTheme="minorHAnsi" w:hAnsiTheme="minorHAnsi" w:cs="Calibri"/>
          <w:sz w:val="22"/>
          <w:szCs w:val="22"/>
          <w:lang w:val="sr-Cyrl-BA"/>
        </w:rPr>
        <w:t>Sve odluke i rješenja iz domena regulatorne nadležnosti, koje donese Regulatorna komisija, objavljuju se u Službenom glasniku Republike Srpske i na internet stranici.</w:t>
      </w:r>
    </w:p>
    <w:p w:rsidR="005A1B74" w:rsidRPr="00281D1F" w:rsidRDefault="005A1B74" w:rsidP="002D1E7C">
      <w:pPr>
        <w:spacing w:before="120" w:after="120"/>
        <w:jc w:val="both"/>
        <w:rPr>
          <w:rFonts w:asciiTheme="minorHAnsi" w:hAnsiTheme="minorHAnsi" w:cs="Calibri"/>
          <w:sz w:val="22"/>
          <w:szCs w:val="22"/>
          <w:lang w:val="sr-Cyrl-BA"/>
        </w:rPr>
      </w:pPr>
      <w:r w:rsidRPr="00281D1F">
        <w:rPr>
          <w:rFonts w:asciiTheme="minorHAnsi" w:hAnsiTheme="minorHAnsi" w:cs="Calibri"/>
          <w:sz w:val="22"/>
          <w:szCs w:val="22"/>
          <w:lang w:val="sr-Cyrl-BA"/>
        </w:rPr>
        <w:lastRenderedPageBreak/>
        <w:t>U postupcima koji se odnose na odobravanje tarifa, izdavanje dozvola, zaštitu kupaca tj. rješavanje sporova kao i prilikom izrade akata kojima se definiše obavljanje djelatnosti iz regulatorne nadležnosti, Regulatorna komisija organizuje javno razmatranje koje uključuje i održavanje javnih rasprava i to: opšte, tehničke i formalne, koje su otvorene za javnost. Obavještenja o održavanju javnih rasprava se objavljuju u sredstvima javnog informisanja, na internet stranici i na oglasnoj tabli Regulatorne komisije. Zainteresovana lica, pored učešća na javnim raspravama, imaju i mogućnost da putem dostavljanja pisanih komentara učestvuju u postupcima koji se vode pred Regulatornom komisijom. Redovne sjednice i sve vrste javnih rasprava su otvorene za javnost.</w:t>
      </w:r>
    </w:p>
    <w:p w:rsidR="005A1B74" w:rsidRPr="00281D1F" w:rsidRDefault="005A1B74" w:rsidP="002D1E7C">
      <w:pPr>
        <w:spacing w:before="120" w:after="120"/>
        <w:jc w:val="both"/>
        <w:rPr>
          <w:rFonts w:asciiTheme="minorHAnsi" w:hAnsiTheme="minorHAnsi" w:cs="Calibri"/>
          <w:sz w:val="22"/>
          <w:szCs w:val="22"/>
          <w:lang w:val="sr-Cyrl-BA"/>
        </w:rPr>
      </w:pPr>
      <w:r w:rsidRPr="00281D1F">
        <w:rPr>
          <w:rFonts w:asciiTheme="minorHAnsi" w:hAnsiTheme="minorHAnsi" w:cs="Calibri"/>
          <w:sz w:val="22"/>
          <w:szCs w:val="22"/>
          <w:lang w:val="sr-Cyrl-BA"/>
        </w:rPr>
        <w:t>Regulatorna komisija je otvorena za interaktivan pristup u smislu pružanja odgovora na pitanja upućena od strane zainteresovanih lica koja se odnose na njen rad. Na taj se način javnost upućuje i obavještava o djelokrugu rada, pritom formirajući jasnu sliku o reformi energetskog sektora i liberalizaciji tržišta energije te ulozi Regulatorne komisije u tim procesima.</w:t>
      </w:r>
    </w:p>
    <w:p w:rsidR="005A1B74" w:rsidRPr="00281D1F" w:rsidRDefault="005A1B74" w:rsidP="002D1E7C">
      <w:pPr>
        <w:keepNext/>
        <w:numPr>
          <w:ilvl w:val="0"/>
          <w:numId w:val="13"/>
        </w:numPr>
        <w:tabs>
          <w:tab w:val="left" w:pos="0"/>
        </w:tabs>
        <w:spacing w:before="240" w:after="120"/>
        <w:outlineLvl w:val="0"/>
        <w:rPr>
          <w:rFonts w:ascii="Calibri" w:hAnsi="Calibri" w:cs="Calibri"/>
          <w:b/>
          <w:bCs/>
          <w:sz w:val="28"/>
          <w:szCs w:val="28"/>
          <w:lang w:val="sr-Cyrl-BA"/>
        </w:rPr>
      </w:pPr>
      <w:bookmarkStart w:id="332" w:name="_Toc210301183"/>
      <w:bookmarkStart w:id="333" w:name="_Toc359494146"/>
      <w:bookmarkStart w:id="334" w:name="_Toc144087478"/>
      <w:bookmarkStart w:id="335" w:name="_Toc144124643"/>
      <w:bookmarkStart w:id="336" w:name="_Toc173549342"/>
      <w:bookmarkStart w:id="337" w:name="_Toc206404883"/>
      <w:bookmarkStart w:id="338" w:name="_Toc205018304"/>
      <w:bookmarkStart w:id="339" w:name="_Toc230940911"/>
      <w:bookmarkStart w:id="340" w:name="_Toc293411105"/>
      <w:bookmarkStart w:id="341" w:name="_Toc293414793"/>
      <w:bookmarkStart w:id="342" w:name="_Toc293563743"/>
      <w:bookmarkStart w:id="343" w:name="_Toc358640064"/>
      <w:bookmarkStart w:id="344" w:name="_Toc358640282"/>
      <w:bookmarkStart w:id="345" w:name="_Toc358640500"/>
      <w:bookmarkStart w:id="346" w:name="_Toc358640924"/>
      <w:bookmarkEnd w:id="324"/>
      <w:bookmarkEnd w:id="325"/>
      <w:bookmarkEnd w:id="326"/>
      <w:bookmarkEnd w:id="327"/>
      <w:bookmarkEnd w:id="328"/>
      <w:bookmarkEnd w:id="329"/>
      <w:bookmarkEnd w:id="330"/>
      <w:bookmarkEnd w:id="331"/>
      <w:r w:rsidRPr="00281D1F">
        <w:rPr>
          <w:rFonts w:ascii="Calibri" w:hAnsi="Calibri" w:cs="Calibri"/>
          <w:b/>
          <w:bCs/>
          <w:sz w:val="28"/>
          <w:szCs w:val="28"/>
          <w:lang w:val="sr-Cyrl-BA"/>
        </w:rPr>
        <w:t>4.</w:t>
      </w:r>
      <w:r w:rsidRPr="00281D1F">
        <w:rPr>
          <w:rFonts w:ascii="Calibri" w:hAnsi="Calibri" w:cs="Calibri"/>
          <w:b/>
          <w:bCs/>
          <w:sz w:val="28"/>
          <w:szCs w:val="28"/>
          <w:lang w:val="sr-Cyrl-BA"/>
        </w:rPr>
        <w:tab/>
        <w:t>Finansiranje Regulatorne komisije</w:t>
      </w:r>
      <w:bookmarkEnd w:id="332"/>
    </w:p>
    <w:p w:rsidR="005A1B74" w:rsidRPr="00281D1F" w:rsidRDefault="005A1B74" w:rsidP="002D1E7C">
      <w:pPr>
        <w:keepNext/>
        <w:numPr>
          <w:ilvl w:val="1"/>
          <w:numId w:val="14"/>
        </w:numPr>
        <w:spacing w:before="120"/>
        <w:ind w:left="851" w:hanging="851"/>
        <w:outlineLvl w:val="1"/>
        <w:rPr>
          <w:rFonts w:ascii="Calibri" w:hAnsi="Calibri" w:cs="Arial"/>
          <w:b/>
          <w:bCs/>
          <w:iCs/>
          <w:sz w:val="26"/>
          <w:szCs w:val="26"/>
          <w:lang w:val="sr-Cyrl-BA"/>
        </w:rPr>
      </w:pPr>
      <w:r w:rsidRPr="00281D1F">
        <w:rPr>
          <w:rFonts w:ascii="Calibri" w:hAnsi="Calibri" w:cs="Arial"/>
          <w:b/>
          <w:bCs/>
          <w:iCs/>
          <w:sz w:val="26"/>
          <w:szCs w:val="26"/>
          <w:lang w:val="sr-Cyrl-BA"/>
        </w:rPr>
        <w:t xml:space="preserve"> </w:t>
      </w:r>
      <w:bookmarkStart w:id="347" w:name="_Toc210301184"/>
      <w:r w:rsidRPr="00281D1F">
        <w:rPr>
          <w:rFonts w:ascii="Calibri" w:hAnsi="Calibri" w:cs="Arial"/>
          <w:b/>
          <w:bCs/>
          <w:iCs/>
          <w:sz w:val="26"/>
          <w:szCs w:val="26"/>
          <w:lang w:val="sr-Cyrl-BA"/>
        </w:rPr>
        <w:t>Finansiranje</w:t>
      </w:r>
      <w:bookmarkEnd w:id="347"/>
    </w:p>
    <w:p w:rsidR="005A1B74" w:rsidRPr="00281D1F" w:rsidRDefault="005A1B74" w:rsidP="002D1E7C">
      <w:pPr>
        <w:widowControl w:val="0"/>
        <w:shd w:val="clear" w:color="auto" w:fill="FFFFFF"/>
        <w:autoSpaceDE w:val="0"/>
        <w:autoSpaceDN w:val="0"/>
        <w:adjustRightInd w:val="0"/>
        <w:spacing w:before="120" w:after="120"/>
        <w:jc w:val="both"/>
        <w:rPr>
          <w:rFonts w:ascii="Calibri" w:hAnsi="Calibri" w:cs="Calibri"/>
          <w:color w:val="000000"/>
          <w:sz w:val="22"/>
          <w:szCs w:val="22"/>
          <w:lang w:val="sr-Cyrl-BA"/>
        </w:rPr>
      </w:pPr>
      <w:r w:rsidRPr="00281D1F">
        <w:rPr>
          <w:rFonts w:ascii="Calibri" w:hAnsi="Calibri" w:cs="Calibri"/>
          <w:color w:val="000000"/>
          <w:sz w:val="22"/>
          <w:szCs w:val="22"/>
          <w:lang w:val="sr-Cyrl-BA"/>
        </w:rPr>
        <w:t>Finansiranje rada Regulatorne komisije obezbjeđuje se iz godišnjih naknada od energetskih subjekata, korisnika dozvola za obavljanje jedne ili više energetskih djelatnosti, jednokratnih naknada za postupke koje sprovodi po zahtjevima, kao i iz drugih izvora, u skladu sa propisima iz oblasti obnovljivih izvora energije, kako je propisano članom 24. stav 1. Zakona o energetici.</w:t>
      </w:r>
    </w:p>
    <w:p w:rsidR="005A1B74" w:rsidRPr="00281D1F" w:rsidRDefault="005A1B74" w:rsidP="002D1E7C">
      <w:pPr>
        <w:spacing w:after="120"/>
        <w:jc w:val="both"/>
        <w:rPr>
          <w:rFonts w:ascii="Calibri" w:hAnsi="Calibri" w:cs="Calibri"/>
          <w:color w:val="000000"/>
          <w:sz w:val="22"/>
          <w:szCs w:val="22"/>
          <w:lang w:val="sr-Cyrl-BA"/>
        </w:rPr>
      </w:pPr>
      <w:r>
        <w:rPr>
          <w:rFonts w:ascii="Calibri" w:hAnsi="Calibri" w:cs="Calibri"/>
          <w:color w:val="000000"/>
          <w:sz w:val="22"/>
          <w:szCs w:val="22"/>
          <w:lang w:val="sr-Cyrl-BA"/>
        </w:rPr>
        <w:t>Regulatorna komisija je</w:t>
      </w:r>
      <w:r w:rsidRPr="00281D1F">
        <w:rPr>
          <w:rFonts w:ascii="Calibri" w:hAnsi="Calibri" w:cs="Calibri"/>
          <w:color w:val="000000"/>
          <w:sz w:val="22"/>
          <w:szCs w:val="22"/>
          <w:lang w:val="sr-Cyrl-BA"/>
        </w:rPr>
        <w:t xml:space="preserve"> na </w:t>
      </w:r>
      <w:r>
        <w:rPr>
          <w:rFonts w:ascii="Calibri" w:hAnsi="Calibri" w:cs="Calibri"/>
          <w:color w:val="000000"/>
          <w:sz w:val="22"/>
          <w:szCs w:val="22"/>
        </w:rPr>
        <w:t>56</w:t>
      </w:r>
      <w:r w:rsidRPr="00281D1F">
        <w:rPr>
          <w:rFonts w:ascii="Calibri" w:hAnsi="Calibri" w:cs="Calibri"/>
          <w:color w:val="000000"/>
          <w:sz w:val="22"/>
          <w:szCs w:val="22"/>
          <w:lang w:val="sr-Cyrl-BA"/>
        </w:rPr>
        <w:t>. internom sastanku održanom 2</w:t>
      </w:r>
      <w:r>
        <w:rPr>
          <w:rFonts w:ascii="Calibri" w:hAnsi="Calibri" w:cs="Calibri"/>
          <w:color w:val="000000"/>
          <w:sz w:val="22"/>
          <w:szCs w:val="22"/>
        </w:rPr>
        <w:t>2</w:t>
      </w:r>
      <w:r w:rsidRPr="00281D1F">
        <w:rPr>
          <w:rFonts w:ascii="Calibri" w:hAnsi="Calibri" w:cs="Calibri"/>
          <w:color w:val="000000"/>
          <w:sz w:val="22"/>
          <w:szCs w:val="22"/>
          <w:lang w:val="sr-Cyrl-BA"/>
        </w:rPr>
        <w:t>. decembra 202</w:t>
      </w:r>
      <w:r>
        <w:rPr>
          <w:rFonts w:ascii="Calibri" w:hAnsi="Calibri" w:cs="Calibri"/>
          <w:color w:val="000000"/>
          <w:sz w:val="22"/>
          <w:szCs w:val="22"/>
        </w:rPr>
        <w:t>3</w:t>
      </w:r>
      <w:r w:rsidRPr="00281D1F">
        <w:rPr>
          <w:rFonts w:ascii="Calibri" w:hAnsi="Calibri" w:cs="Calibri"/>
          <w:color w:val="000000"/>
          <w:sz w:val="22"/>
          <w:szCs w:val="22"/>
          <w:lang w:val="sr-Cyrl-BA"/>
        </w:rPr>
        <w:t>. godine, utvrdila Prijedlog Budžeta za 202</w:t>
      </w:r>
      <w:r>
        <w:rPr>
          <w:rFonts w:ascii="Calibri" w:hAnsi="Calibri" w:cs="Calibri"/>
          <w:color w:val="000000"/>
          <w:sz w:val="22"/>
          <w:szCs w:val="22"/>
        </w:rPr>
        <w:t>4</w:t>
      </w:r>
      <w:r>
        <w:rPr>
          <w:rFonts w:ascii="Calibri" w:hAnsi="Calibri" w:cs="Calibri"/>
          <w:color w:val="000000"/>
          <w:sz w:val="22"/>
          <w:szCs w:val="22"/>
          <w:lang w:val="sr-Cyrl-BA"/>
        </w:rPr>
        <w:t xml:space="preserve">. godinu, koji je usvojen na </w:t>
      </w:r>
      <w:r>
        <w:rPr>
          <w:rFonts w:ascii="Calibri" w:hAnsi="Calibri" w:cs="Calibri"/>
          <w:color w:val="000000"/>
          <w:sz w:val="22"/>
          <w:szCs w:val="22"/>
        </w:rPr>
        <w:t>8</w:t>
      </w:r>
      <w:r w:rsidRPr="00281D1F">
        <w:rPr>
          <w:rFonts w:ascii="Calibri" w:hAnsi="Calibri" w:cs="Calibri"/>
          <w:color w:val="000000"/>
          <w:sz w:val="22"/>
          <w:szCs w:val="22"/>
          <w:lang w:val="sr-Cyrl-BA"/>
        </w:rPr>
        <w:t>. redovnoj sjednici Narodne skupšti</w:t>
      </w:r>
      <w:r>
        <w:rPr>
          <w:rFonts w:ascii="Calibri" w:hAnsi="Calibri" w:cs="Calibri"/>
          <w:color w:val="000000"/>
          <w:sz w:val="22"/>
          <w:szCs w:val="22"/>
          <w:lang w:val="sr-Cyrl-BA"/>
        </w:rPr>
        <w:t xml:space="preserve">ne Republike Srpske, održanoj </w:t>
      </w:r>
      <w:r>
        <w:rPr>
          <w:rFonts w:ascii="Calibri" w:hAnsi="Calibri" w:cs="Calibri"/>
          <w:color w:val="000000"/>
          <w:sz w:val="22"/>
          <w:szCs w:val="22"/>
        </w:rPr>
        <w:t>14</w:t>
      </w:r>
      <w:r>
        <w:rPr>
          <w:rFonts w:ascii="Calibri" w:hAnsi="Calibri" w:cs="Calibri"/>
          <w:color w:val="000000"/>
          <w:sz w:val="22"/>
          <w:szCs w:val="22"/>
          <w:lang w:val="sr-Cyrl-BA"/>
        </w:rPr>
        <w:t>.03.202</w:t>
      </w:r>
      <w:r>
        <w:rPr>
          <w:rFonts w:ascii="Calibri" w:hAnsi="Calibri" w:cs="Calibri"/>
          <w:color w:val="000000"/>
          <w:sz w:val="22"/>
          <w:szCs w:val="22"/>
        </w:rPr>
        <w:t>4</w:t>
      </w:r>
      <w:r w:rsidRPr="00281D1F">
        <w:rPr>
          <w:rFonts w:ascii="Calibri" w:hAnsi="Calibri" w:cs="Calibri"/>
          <w:color w:val="000000"/>
          <w:sz w:val="22"/>
          <w:szCs w:val="22"/>
          <w:lang w:val="sr-Cyrl-BA"/>
        </w:rPr>
        <w:t xml:space="preserve">. godine. </w:t>
      </w:r>
    </w:p>
    <w:p w:rsidR="005A1B74" w:rsidRPr="00281D1F" w:rsidRDefault="005A1B74" w:rsidP="002D1E7C">
      <w:pPr>
        <w:jc w:val="both"/>
        <w:rPr>
          <w:rFonts w:ascii="Calibri" w:hAnsi="Calibri" w:cs="Calibri"/>
          <w:color w:val="000000"/>
          <w:sz w:val="22"/>
          <w:szCs w:val="22"/>
          <w:lang w:val="sr-Cyrl-BA"/>
        </w:rPr>
      </w:pPr>
      <w:r w:rsidRPr="00281D1F">
        <w:rPr>
          <w:rFonts w:ascii="Calibri" w:hAnsi="Calibri" w:cs="Calibri"/>
          <w:color w:val="000000"/>
          <w:sz w:val="22"/>
          <w:szCs w:val="22"/>
          <w:lang w:val="sr-Cyrl-BA"/>
        </w:rPr>
        <w:t xml:space="preserve">U skladu sa Budžetom, a na osnovu odredbi Zakona o energetici i Statuta Regulatorne komisije, na </w:t>
      </w:r>
      <w:r>
        <w:rPr>
          <w:rFonts w:ascii="Calibri" w:hAnsi="Calibri" w:cs="Calibri"/>
          <w:color w:val="000000"/>
          <w:sz w:val="22"/>
          <w:szCs w:val="22"/>
        </w:rPr>
        <w:t>92</w:t>
      </w:r>
      <w:r w:rsidRPr="00281D1F">
        <w:rPr>
          <w:rFonts w:ascii="Calibri" w:hAnsi="Calibri" w:cs="Calibri"/>
          <w:color w:val="000000"/>
          <w:sz w:val="22"/>
          <w:szCs w:val="22"/>
          <w:lang w:val="sr-Cyrl-BA"/>
        </w:rPr>
        <w:t>. redovnoj sjednici Regulatorne komisije, održanoj 1</w:t>
      </w:r>
      <w:r>
        <w:rPr>
          <w:rFonts w:ascii="Calibri" w:hAnsi="Calibri" w:cs="Calibri"/>
          <w:color w:val="000000"/>
          <w:sz w:val="22"/>
          <w:szCs w:val="22"/>
        </w:rPr>
        <w:t>1</w:t>
      </w:r>
      <w:r w:rsidRPr="00281D1F">
        <w:rPr>
          <w:rFonts w:ascii="Calibri" w:hAnsi="Calibri" w:cs="Calibri"/>
          <w:color w:val="000000"/>
          <w:sz w:val="22"/>
          <w:szCs w:val="22"/>
          <w:lang w:val="sr-Cyrl-BA"/>
        </w:rPr>
        <w:t>. aprila 202</w:t>
      </w:r>
      <w:r>
        <w:rPr>
          <w:rFonts w:ascii="Calibri" w:hAnsi="Calibri" w:cs="Calibri"/>
          <w:color w:val="000000"/>
          <w:sz w:val="22"/>
          <w:szCs w:val="22"/>
        </w:rPr>
        <w:t>4</w:t>
      </w:r>
      <w:r w:rsidRPr="00281D1F">
        <w:rPr>
          <w:rFonts w:ascii="Calibri" w:hAnsi="Calibri" w:cs="Calibri"/>
          <w:color w:val="000000"/>
          <w:sz w:val="22"/>
          <w:szCs w:val="22"/>
          <w:lang w:val="sr-Cyrl-BA"/>
        </w:rPr>
        <w:t>. godine, doneseno je Rješenje o utvrđivanju regulatorne naknade za 202</w:t>
      </w:r>
      <w:r>
        <w:rPr>
          <w:rFonts w:ascii="Calibri" w:hAnsi="Calibri" w:cs="Calibri"/>
          <w:color w:val="000000"/>
          <w:sz w:val="22"/>
          <w:szCs w:val="22"/>
        </w:rPr>
        <w:t>4</w:t>
      </w:r>
      <w:r w:rsidRPr="00281D1F">
        <w:rPr>
          <w:rFonts w:ascii="Calibri" w:hAnsi="Calibri" w:cs="Calibri"/>
          <w:color w:val="000000"/>
          <w:sz w:val="22"/>
          <w:szCs w:val="22"/>
          <w:lang w:val="sr-Cyrl-BA"/>
        </w:rPr>
        <w:t>. godinu, kojim je korisnicima dozvola za obavljanje energetskih djelatnosti utvrđen pripadajući iznos regulatorne naknade za predmetnu godinu.</w:t>
      </w:r>
    </w:p>
    <w:p w:rsidR="005A1B74" w:rsidRPr="00281D1F" w:rsidRDefault="005A1B74" w:rsidP="002D1E7C">
      <w:pPr>
        <w:jc w:val="both"/>
        <w:rPr>
          <w:rFonts w:ascii="Calibri" w:hAnsi="Calibri" w:cs="Calibri"/>
          <w:color w:val="000000"/>
          <w:sz w:val="22"/>
          <w:szCs w:val="22"/>
          <w:lang w:val="sr-Cyrl-BA"/>
        </w:rPr>
      </w:pPr>
    </w:p>
    <w:p w:rsidR="005A1B74" w:rsidRPr="00281D1F" w:rsidRDefault="005A1B74" w:rsidP="002D1E7C">
      <w:pPr>
        <w:keepNext/>
        <w:numPr>
          <w:ilvl w:val="1"/>
          <w:numId w:val="17"/>
        </w:numPr>
        <w:spacing w:before="120" w:after="120"/>
        <w:outlineLvl w:val="1"/>
        <w:rPr>
          <w:rFonts w:ascii="Calibri" w:hAnsi="Calibri" w:cs="Arial"/>
          <w:b/>
          <w:bCs/>
          <w:iCs/>
          <w:sz w:val="26"/>
          <w:szCs w:val="26"/>
          <w:lang w:val="sr-Cyrl-BA"/>
        </w:rPr>
      </w:pPr>
      <w:bookmarkStart w:id="348" w:name="_Toc210301185"/>
      <w:r w:rsidRPr="00281D1F">
        <w:rPr>
          <w:rFonts w:ascii="Calibri" w:hAnsi="Calibri" w:cs="Arial"/>
          <w:b/>
          <w:bCs/>
          <w:iCs/>
          <w:sz w:val="26"/>
          <w:szCs w:val="26"/>
          <w:lang w:val="sr-Cyrl-BA"/>
        </w:rPr>
        <w:t>Revizorski izvještaj</w:t>
      </w:r>
      <w:bookmarkEnd w:id="348"/>
    </w:p>
    <w:p w:rsidR="005A1B74" w:rsidRPr="00281D1F" w:rsidRDefault="005A1B74" w:rsidP="002D1E7C">
      <w:pPr>
        <w:spacing w:after="120"/>
        <w:jc w:val="both"/>
        <w:rPr>
          <w:rFonts w:ascii="Calibri" w:hAnsi="Calibri" w:cs="Calibri"/>
          <w:sz w:val="22"/>
          <w:szCs w:val="22"/>
          <w:lang w:val="sr-Cyrl-BA"/>
        </w:rPr>
      </w:pPr>
      <w:r w:rsidRPr="00281D1F">
        <w:rPr>
          <w:rFonts w:ascii="Calibri" w:hAnsi="Calibri" w:cs="Calibri"/>
          <w:sz w:val="22"/>
          <w:szCs w:val="22"/>
          <w:lang w:val="sr-Cyrl-BA"/>
        </w:rPr>
        <w:t>Statutom Regulatorne komisije propisana je obavezna godišnja revizija finansijskih izvještaja.</w:t>
      </w:r>
    </w:p>
    <w:p w:rsidR="005A1B74" w:rsidRDefault="005A1B74" w:rsidP="002D1E7C">
      <w:pPr>
        <w:spacing w:after="120"/>
        <w:jc w:val="both"/>
        <w:rPr>
          <w:rFonts w:ascii="Calibri" w:hAnsi="Calibri" w:cs="Calibri"/>
          <w:sz w:val="22"/>
          <w:szCs w:val="22"/>
          <w:lang w:val="sr-Cyrl-BA"/>
        </w:rPr>
      </w:pPr>
      <w:r w:rsidRPr="00281D1F">
        <w:rPr>
          <w:rFonts w:ascii="Calibri" w:hAnsi="Calibri" w:cs="Calibri"/>
          <w:sz w:val="22"/>
          <w:szCs w:val="22"/>
          <w:lang w:val="sr-Cyrl-BA"/>
        </w:rPr>
        <w:t>U toku 202</w:t>
      </w:r>
      <w:r>
        <w:rPr>
          <w:rFonts w:ascii="Calibri" w:hAnsi="Calibri" w:cs="Calibri"/>
          <w:sz w:val="22"/>
          <w:szCs w:val="22"/>
          <w:lang w:val="sr-Cyrl-BA"/>
        </w:rPr>
        <w:t>4. godine,</w:t>
      </w:r>
      <w:r w:rsidRPr="00281D1F">
        <w:rPr>
          <w:rFonts w:ascii="Calibri" w:hAnsi="Calibri" w:cs="Calibri"/>
          <w:sz w:val="22"/>
          <w:szCs w:val="22"/>
          <w:lang w:val="sr-Cyrl-BA"/>
        </w:rPr>
        <w:t xml:space="preserve"> izvršen je izbor nezavisnog revizora u postupku javne nabavke. Izabrani nezavisni revizor „</w:t>
      </w:r>
      <w:r>
        <w:rPr>
          <w:rFonts w:ascii="Calibri" w:hAnsi="Calibri" w:cs="Calibri"/>
          <w:sz w:val="22"/>
          <w:szCs w:val="22"/>
        </w:rPr>
        <w:t>Control Review</w:t>
      </w:r>
      <w:r w:rsidRPr="00281D1F">
        <w:rPr>
          <w:rFonts w:ascii="Calibri" w:hAnsi="Calibri" w:cs="Calibri"/>
          <w:sz w:val="22"/>
          <w:szCs w:val="22"/>
          <w:lang w:val="sr-Cyrl-BA"/>
        </w:rPr>
        <w:t>” d.o.o. Banja Luka je, u skladu sa ugovorenom dinamikom, izvršio reviziju finansijskih izvještaja, izrazio revizorsko mišljenje i u aprilu 202</w:t>
      </w:r>
      <w:r>
        <w:rPr>
          <w:rFonts w:ascii="Calibri" w:hAnsi="Calibri" w:cs="Calibri"/>
          <w:sz w:val="22"/>
          <w:szCs w:val="22"/>
        </w:rPr>
        <w:t>5</w:t>
      </w:r>
      <w:r w:rsidRPr="00281D1F">
        <w:rPr>
          <w:rFonts w:ascii="Calibri" w:hAnsi="Calibri" w:cs="Calibri"/>
          <w:sz w:val="22"/>
          <w:szCs w:val="22"/>
          <w:lang w:val="sr-Cyrl-BA"/>
        </w:rPr>
        <w:t xml:space="preserve">. podnio izvještaj Regulatornoj komisiji. </w:t>
      </w:r>
    </w:p>
    <w:p w:rsidR="005A1B74" w:rsidRPr="00281D1F" w:rsidRDefault="005A1B74" w:rsidP="002D1E7C">
      <w:pPr>
        <w:jc w:val="both"/>
        <w:rPr>
          <w:rFonts w:ascii="Calibri" w:hAnsi="Calibri" w:cs="Calibri"/>
          <w:sz w:val="22"/>
          <w:szCs w:val="22"/>
          <w:lang w:val="sr-Cyrl-BA"/>
        </w:rPr>
      </w:pPr>
      <w:r w:rsidRPr="00281D1F">
        <w:rPr>
          <w:rFonts w:ascii="Calibri" w:hAnsi="Calibri" w:cs="Calibri"/>
          <w:sz w:val="22"/>
          <w:szCs w:val="22"/>
          <w:lang w:val="sr-Cyrl-BA"/>
        </w:rPr>
        <w:t>Mišljenje ovlašćenog revizora o reviziji finansijskih izvještaja za 202</w:t>
      </w:r>
      <w:r>
        <w:rPr>
          <w:rFonts w:ascii="Calibri" w:hAnsi="Calibri" w:cs="Calibri"/>
          <w:sz w:val="22"/>
          <w:szCs w:val="22"/>
        </w:rPr>
        <w:t>4</w:t>
      </w:r>
      <w:r w:rsidRPr="00281D1F">
        <w:rPr>
          <w:rFonts w:ascii="Calibri" w:hAnsi="Calibri" w:cs="Calibri"/>
          <w:sz w:val="22"/>
          <w:szCs w:val="22"/>
          <w:lang w:val="sr-Cyrl-BA"/>
        </w:rPr>
        <w:t>. godinu,  Izvještaj o finansijskom položaju Regulatorne komisije za energetiku Republike Srpske – Bilans stanja za 202</w:t>
      </w:r>
      <w:r>
        <w:rPr>
          <w:rFonts w:ascii="Calibri" w:hAnsi="Calibri" w:cs="Calibri"/>
          <w:sz w:val="22"/>
          <w:szCs w:val="22"/>
        </w:rPr>
        <w:t>4</w:t>
      </w:r>
      <w:r w:rsidRPr="00281D1F">
        <w:rPr>
          <w:rFonts w:ascii="Calibri" w:hAnsi="Calibri" w:cs="Calibri"/>
          <w:sz w:val="22"/>
          <w:szCs w:val="22"/>
          <w:lang w:val="sr-Cyrl-BA"/>
        </w:rPr>
        <w:t>. godinu i Izvještaj o ukupnom rezultatu Regulatorne komisije za energetiku Republike Srpske – Bilans uspjeha za 202</w:t>
      </w:r>
      <w:r>
        <w:rPr>
          <w:rFonts w:ascii="Calibri" w:hAnsi="Calibri" w:cs="Calibri"/>
          <w:sz w:val="22"/>
          <w:szCs w:val="22"/>
        </w:rPr>
        <w:t>4</w:t>
      </w:r>
      <w:r w:rsidRPr="00281D1F">
        <w:rPr>
          <w:rFonts w:ascii="Calibri" w:hAnsi="Calibri" w:cs="Calibri"/>
          <w:sz w:val="22"/>
          <w:szCs w:val="22"/>
          <w:lang w:val="sr-Cyrl-BA"/>
        </w:rPr>
        <w:t>. godinu su objavljeni u „Službenom gl</w:t>
      </w:r>
      <w:r>
        <w:rPr>
          <w:rFonts w:ascii="Calibri" w:hAnsi="Calibri" w:cs="Calibri"/>
          <w:sz w:val="22"/>
          <w:szCs w:val="22"/>
          <w:lang w:val="sr-Cyrl-BA"/>
        </w:rPr>
        <w:t>asniku Republike Srpske“, broj 6</w:t>
      </w:r>
      <w:r w:rsidRPr="00281D1F">
        <w:rPr>
          <w:rFonts w:ascii="Calibri" w:hAnsi="Calibri" w:cs="Calibri"/>
          <w:sz w:val="22"/>
          <w:szCs w:val="22"/>
          <w:lang w:val="sr-Cyrl-BA"/>
        </w:rPr>
        <w:t>0/2</w:t>
      </w:r>
      <w:r>
        <w:rPr>
          <w:rFonts w:ascii="Calibri" w:hAnsi="Calibri" w:cs="Calibri"/>
          <w:sz w:val="22"/>
          <w:szCs w:val="22"/>
          <w:lang w:val="sr-Cyrl-BA"/>
        </w:rPr>
        <w:t>5</w:t>
      </w:r>
      <w:r w:rsidRPr="00281D1F">
        <w:rPr>
          <w:rFonts w:ascii="Calibri" w:hAnsi="Calibri" w:cs="Calibri"/>
          <w:sz w:val="22"/>
          <w:szCs w:val="22"/>
          <w:lang w:val="sr-Cyrl-BA"/>
        </w:rPr>
        <w:t xml:space="preserve"> od 1</w:t>
      </w:r>
      <w:r>
        <w:rPr>
          <w:rFonts w:ascii="Calibri" w:hAnsi="Calibri" w:cs="Calibri"/>
          <w:sz w:val="22"/>
          <w:szCs w:val="22"/>
          <w:lang w:val="sr-Cyrl-BA"/>
        </w:rPr>
        <w:t>5</w:t>
      </w:r>
      <w:r w:rsidRPr="00281D1F">
        <w:rPr>
          <w:rFonts w:ascii="Calibri" w:hAnsi="Calibri" w:cs="Calibri"/>
          <w:sz w:val="22"/>
          <w:szCs w:val="22"/>
          <w:lang w:val="sr-Cyrl-BA"/>
        </w:rPr>
        <w:t>.0</w:t>
      </w:r>
      <w:r>
        <w:rPr>
          <w:rFonts w:ascii="Calibri" w:hAnsi="Calibri" w:cs="Calibri"/>
          <w:sz w:val="22"/>
          <w:szCs w:val="22"/>
          <w:lang w:val="sr-Cyrl-BA"/>
        </w:rPr>
        <w:t>7</w:t>
      </w:r>
      <w:r w:rsidRPr="00281D1F">
        <w:rPr>
          <w:rFonts w:ascii="Calibri" w:hAnsi="Calibri" w:cs="Calibri"/>
          <w:sz w:val="22"/>
          <w:szCs w:val="22"/>
          <w:lang w:val="sr-Cyrl-BA"/>
        </w:rPr>
        <w:t>.202</w:t>
      </w:r>
      <w:r>
        <w:rPr>
          <w:rFonts w:ascii="Calibri" w:hAnsi="Calibri" w:cs="Calibri"/>
          <w:sz w:val="22"/>
          <w:szCs w:val="22"/>
          <w:lang w:val="sr-Cyrl-BA"/>
        </w:rPr>
        <w:t>5</w:t>
      </w:r>
      <w:r w:rsidRPr="00281D1F">
        <w:rPr>
          <w:rFonts w:ascii="Calibri" w:hAnsi="Calibri" w:cs="Calibri"/>
          <w:sz w:val="22"/>
          <w:szCs w:val="22"/>
          <w:lang w:val="sr-Cyrl-BA"/>
        </w:rPr>
        <w:t>. godine.</w:t>
      </w:r>
    </w:p>
    <w:p w:rsidR="005A1B74" w:rsidRPr="00281D1F" w:rsidRDefault="005A1B74" w:rsidP="002D1E7C">
      <w:pPr>
        <w:spacing w:before="120" w:after="120"/>
        <w:jc w:val="both"/>
        <w:rPr>
          <w:rFonts w:ascii="Calibri" w:hAnsi="Calibri" w:cs="Calibri"/>
          <w:sz w:val="22"/>
          <w:szCs w:val="22"/>
          <w:lang w:val="sr-Cyrl-BA"/>
        </w:rPr>
      </w:pPr>
      <w:r w:rsidRPr="00281D1F">
        <w:rPr>
          <w:rFonts w:ascii="Calibri" w:hAnsi="Calibri" w:cs="Calibri"/>
          <w:sz w:val="22"/>
          <w:szCs w:val="22"/>
          <w:lang w:val="sr-Cyrl-BA"/>
        </w:rPr>
        <w:t>Mišljenje ovlašćenog revizora je dato u nastavku:</w:t>
      </w:r>
    </w:p>
    <w:p w:rsidR="005A1B74" w:rsidRPr="00281D1F" w:rsidRDefault="005A1B74" w:rsidP="002D1E7C">
      <w:pPr>
        <w:spacing w:before="120" w:after="120"/>
        <w:jc w:val="center"/>
        <w:rPr>
          <w:rFonts w:ascii="Calibri" w:hAnsi="Calibri"/>
          <w:b/>
          <w:bCs/>
          <w:i/>
          <w:iCs/>
          <w:noProof/>
          <w:spacing w:val="1"/>
          <w:sz w:val="22"/>
          <w:szCs w:val="22"/>
          <w:lang w:val="sr-Cyrl-BA" w:eastAsia="sr-Latn-BA"/>
        </w:rPr>
      </w:pPr>
      <w:r w:rsidRPr="00281D1F">
        <w:rPr>
          <w:rFonts w:ascii="Calibri" w:hAnsi="Calibri" w:cs="Calibri"/>
          <w:sz w:val="22"/>
          <w:szCs w:val="22"/>
          <w:lang w:val="sr-Cyrl-BA"/>
        </w:rPr>
        <w:lastRenderedPageBreak/>
        <w:t xml:space="preserve"> </w:t>
      </w:r>
      <w:r w:rsidRPr="00B4392F">
        <w:rPr>
          <w:rFonts w:ascii="Calibri" w:hAnsi="Calibri" w:cs="Calibri"/>
          <w:noProof/>
          <w:sz w:val="22"/>
          <w:szCs w:val="22"/>
          <w:lang w:val="en-GB" w:eastAsia="en-GB"/>
        </w:rPr>
        <w:drawing>
          <wp:inline distT="0" distB="0" distL="0" distR="0" wp14:anchorId="25F5259E" wp14:editId="48B0F551">
            <wp:extent cx="4982270" cy="7630590"/>
            <wp:effectExtent l="0" t="0" r="889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982270" cy="7630590"/>
                    </a:xfrm>
                    <a:prstGeom prst="rect">
                      <a:avLst/>
                    </a:prstGeom>
                  </pic:spPr>
                </pic:pic>
              </a:graphicData>
            </a:graphic>
          </wp:inline>
        </w:drawing>
      </w:r>
    </w:p>
    <w:p w:rsidR="005A1B74" w:rsidRPr="00281D1F" w:rsidRDefault="005A1B74" w:rsidP="002D1E7C">
      <w:pPr>
        <w:spacing w:before="120" w:after="120"/>
        <w:jc w:val="center"/>
        <w:rPr>
          <w:rFonts w:ascii="Calibri" w:hAnsi="Calibri"/>
          <w:b/>
          <w:bCs/>
          <w:i/>
          <w:iCs/>
          <w:spacing w:val="1"/>
          <w:sz w:val="22"/>
          <w:szCs w:val="22"/>
          <w:lang w:val="sr-Cyrl-BA" w:eastAsia="sr-Latn-BA"/>
        </w:rPr>
      </w:pPr>
    </w:p>
    <w:p w:rsidR="005A1B74" w:rsidRDefault="005A1B74" w:rsidP="002D1E7C">
      <w:pPr>
        <w:spacing w:before="120" w:after="120"/>
        <w:jc w:val="center"/>
        <w:rPr>
          <w:rFonts w:ascii="Calibri" w:hAnsi="Calibri"/>
          <w:b/>
          <w:bCs/>
          <w:i/>
          <w:iCs/>
          <w:spacing w:val="1"/>
          <w:sz w:val="22"/>
          <w:szCs w:val="22"/>
          <w:lang w:val="sr-Cyrl-BA" w:eastAsia="sr-Latn-BA"/>
        </w:rPr>
      </w:pPr>
    </w:p>
    <w:p w:rsidR="005A1B74" w:rsidRDefault="005A1B74" w:rsidP="002D1E7C">
      <w:pPr>
        <w:spacing w:before="120" w:after="120"/>
        <w:jc w:val="center"/>
        <w:rPr>
          <w:rFonts w:ascii="Calibri" w:hAnsi="Calibri"/>
          <w:b/>
          <w:bCs/>
          <w:i/>
          <w:iCs/>
          <w:spacing w:val="1"/>
          <w:sz w:val="22"/>
          <w:szCs w:val="22"/>
          <w:lang w:val="sr-Cyrl-BA" w:eastAsia="sr-Latn-BA"/>
        </w:rPr>
      </w:pPr>
    </w:p>
    <w:p w:rsidR="005A1B74" w:rsidRDefault="005A1B74" w:rsidP="002D1E7C">
      <w:pPr>
        <w:spacing w:before="120" w:after="120"/>
        <w:jc w:val="center"/>
        <w:rPr>
          <w:rFonts w:ascii="Calibri" w:hAnsi="Calibri"/>
          <w:b/>
          <w:bCs/>
          <w:i/>
          <w:iCs/>
          <w:spacing w:val="1"/>
          <w:sz w:val="22"/>
          <w:szCs w:val="22"/>
          <w:lang w:val="sr-Cyrl-BA" w:eastAsia="sr-Latn-BA"/>
        </w:rPr>
      </w:pPr>
    </w:p>
    <w:p w:rsidR="005A1B74" w:rsidRDefault="005A1B74" w:rsidP="002D1E7C">
      <w:pPr>
        <w:spacing w:before="120" w:after="120"/>
        <w:jc w:val="center"/>
        <w:rPr>
          <w:rFonts w:ascii="Calibri" w:hAnsi="Calibri"/>
          <w:b/>
          <w:bCs/>
          <w:i/>
          <w:iCs/>
          <w:spacing w:val="1"/>
          <w:sz w:val="22"/>
          <w:szCs w:val="22"/>
          <w:lang w:val="sr-Cyrl-BA" w:eastAsia="sr-Latn-BA"/>
        </w:rPr>
      </w:pPr>
      <w:r w:rsidRPr="00B4392F">
        <w:rPr>
          <w:rFonts w:ascii="Calibri" w:hAnsi="Calibri"/>
          <w:b/>
          <w:bCs/>
          <w:i/>
          <w:iCs/>
          <w:noProof/>
          <w:spacing w:val="1"/>
          <w:sz w:val="22"/>
          <w:szCs w:val="22"/>
          <w:lang w:val="en-GB" w:eastAsia="en-GB"/>
        </w:rPr>
        <w:lastRenderedPageBreak/>
        <w:drawing>
          <wp:inline distT="0" distB="0" distL="0" distR="0" wp14:anchorId="47BFF2E0" wp14:editId="29D55C09">
            <wp:extent cx="5039428" cy="7678222"/>
            <wp:effectExtent l="0" t="0" r="889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039428" cy="7678222"/>
                    </a:xfrm>
                    <a:prstGeom prst="rect">
                      <a:avLst/>
                    </a:prstGeom>
                  </pic:spPr>
                </pic:pic>
              </a:graphicData>
            </a:graphic>
          </wp:inline>
        </w:drawing>
      </w:r>
    </w:p>
    <w:p w:rsidR="005A1B74" w:rsidRDefault="005A1B74" w:rsidP="002D1E7C">
      <w:pPr>
        <w:spacing w:before="120" w:after="120"/>
        <w:jc w:val="center"/>
        <w:rPr>
          <w:rFonts w:ascii="Calibri" w:hAnsi="Calibri"/>
          <w:b/>
          <w:bCs/>
          <w:i/>
          <w:iCs/>
          <w:spacing w:val="1"/>
          <w:sz w:val="22"/>
          <w:szCs w:val="22"/>
          <w:lang w:val="sr-Cyrl-BA" w:eastAsia="sr-Latn-BA"/>
        </w:rPr>
      </w:pPr>
    </w:p>
    <w:p w:rsidR="005A1B74" w:rsidRDefault="005A1B74" w:rsidP="002D1E7C">
      <w:pPr>
        <w:spacing w:before="120" w:after="120"/>
        <w:jc w:val="center"/>
        <w:rPr>
          <w:rFonts w:ascii="Calibri" w:hAnsi="Calibri"/>
          <w:b/>
          <w:bCs/>
          <w:i/>
          <w:iCs/>
          <w:spacing w:val="1"/>
          <w:sz w:val="22"/>
          <w:szCs w:val="22"/>
          <w:lang w:val="sr-Cyrl-BA" w:eastAsia="sr-Latn-BA"/>
        </w:rPr>
      </w:pPr>
    </w:p>
    <w:p w:rsidR="005A1B74" w:rsidRPr="00281D1F" w:rsidRDefault="005A1B74" w:rsidP="002D1E7C">
      <w:pPr>
        <w:spacing w:before="120" w:after="120"/>
        <w:jc w:val="center"/>
        <w:rPr>
          <w:rFonts w:ascii="Calibri" w:hAnsi="Calibri"/>
          <w:b/>
          <w:bCs/>
          <w:i/>
          <w:iCs/>
          <w:spacing w:val="1"/>
          <w:sz w:val="22"/>
          <w:szCs w:val="22"/>
          <w:lang w:val="sr-Cyrl-BA" w:eastAsia="sr-Latn-BA"/>
        </w:rPr>
      </w:pPr>
      <w:r w:rsidRPr="00B4392F">
        <w:rPr>
          <w:rFonts w:ascii="Calibri" w:hAnsi="Calibri"/>
          <w:b/>
          <w:bCs/>
          <w:i/>
          <w:iCs/>
          <w:noProof/>
          <w:spacing w:val="1"/>
          <w:sz w:val="22"/>
          <w:szCs w:val="22"/>
          <w:lang w:val="en-GB" w:eastAsia="en-GB"/>
        </w:rPr>
        <w:lastRenderedPageBreak/>
        <w:drawing>
          <wp:inline distT="0" distB="0" distL="0" distR="0" wp14:anchorId="793884E1" wp14:editId="084EB41D">
            <wp:extent cx="5239481" cy="66303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239481" cy="6630325"/>
                    </a:xfrm>
                    <a:prstGeom prst="rect">
                      <a:avLst/>
                    </a:prstGeom>
                  </pic:spPr>
                </pic:pic>
              </a:graphicData>
            </a:graphic>
          </wp:inline>
        </w:drawing>
      </w:r>
    </w:p>
    <w:p w:rsidR="005A1B74" w:rsidRDefault="005A1B74" w:rsidP="002D1E7C">
      <w:pPr>
        <w:rPr>
          <w:lang w:val="sr-Cyrl-BA"/>
        </w:rPr>
      </w:pPr>
      <w:r>
        <w:rPr>
          <w:lang w:val="sr-Cyrl-BA"/>
        </w:rPr>
        <w:br w:type="page"/>
      </w:r>
    </w:p>
    <w:p w:rsidR="005A1B74" w:rsidRPr="003958BA" w:rsidRDefault="005A1B74" w:rsidP="002D1E7C">
      <w:pPr>
        <w:pStyle w:val="Heading1"/>
        <w:numPr>
          <w:ilvl w:val="0"/>
          <w:numId w:val="12"/>
        </w:numPr>
        <w:tabs>
          <w:tab w:val="clear" w:pos="720"/>
          <w:tab w:val="left" w:pos="0"/>
        </w:tabs>
        <w:spacing w:before="240" w:after="240"/>
        <w:ind w:left="360"/>
        <w:jc w:val="left"/>
        <w:rPr>
          <w:rFonts w:asciiTheme="minorHAnsi" w:hAnsiTheme="minorHAnsi" w:cs="Calibri"/>
          <w:bCs/>
          <w:sz w:val="28"/>
          <w:szCs w:val="28"/>
          <w:lang w:val="ru-RU"/>
        </w:rPr>
      </w:pPr>
      <w:bookmarkStart w:id="349" w:name="_Toc43123368"/>
      <w:bookmarkStart w:id="350" w:name="_Toc43123369"/>
      <w:bookmarkStart w:id="351" w:name="_Toc43123370"/>
      <w:bookmarkStart w:id="352" w:name="_Toc137469645"/>
      <w:bookmarkStart w:id="353" w:name="_Toc137471278"/>
      <w:bookmarkStart w:id="354" w:name="_Toc137469646"/>
      <w:bookmarkStart w:id="355" w:name="_Toc137471279"/>
      <w:bookmarkStart w:id="356" w:name="_Toc137469647"/>
      <w:bookmarkStart w:id="357" w:name="_Toc137471280"/>
      <w:bookmarkStart w:id="358" w:name="_Toc293411107"/>
      <w:bookmarkStart w:id="359" w:name="_Toc293414795"/>
      <w:bookmarkStart w:id="360" w:name="_Toc293563745"/>
      <w:bookmarkStart w:id="361" w:name="_Toc358640066"/>
      <w:bookmarkStart w:id="362" w:name="_Toc358640284"/>
      <w:bookmarkStart w:id="363" w:name="_Toc358640502"/>
      <w:bookmarkStart w:id="364" w:name="_Toc358640926"/>
      <w:bookmarkStart w:id="365" w:name="_Toc359494149"/>
      <w:bookmarkStart w:id="366" w:name="_Toc76023257"/>
      <w:bookmarkStart w:id="367" w:name="_Toc210301186"/>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9"/>
      <w:bookmarkEnd w:id="350"/>
      <w:bookmarkEnd w:id="351"/>
      <w:bookmarkEnd w:id="352"/>
      <w:bookmarkEnd w:id="353"/>
      <w:bookmarkEnd w:id="354"/>
      <w:bookmarkEnd w:id="355"/>
      <w:bookmarkEnd w:id="356"/>
      <w:bookmarkEnd w:id="357"/>
      <w:r>
        <w:rPr>
          <w:rFonts w:asciiTheme="minorHAnsi" w:hAnsiTheme="minorHAnsi" w:cs="Calibri"/>
          <w:bCs/>
          <w:sz w:val="28"/>
          <w:szCs w:val="28"/>
          <w:lang w:val="sr-Cyrl-CS"/>
        </w:rPr>
        <w:lastRenderedPageBreak/>
        <w:t>Internet stranica</w:t>
      </w:r>
      <w:r w:rsidRPr="003958BA">
        <w:rPr>
          <w:rFonts w:asciiTheme="minorHAnsi" w:hAnsiTheme="minorHAnsi" w:cs="Calibri"/>
          <w:bCs/>
          <w:sz w:val="28"/>
          <w:szCs w:val="28"/>
          <w:lang w:val="sr-Cyrl-CS"/>
        </w:rPr>
        <w:t xml:space="preserve"> Regulatorne komisije</w:t>
      </w:r>
      <w:bookmarkEnd w:id="358"/>
      <w:bookmarkEnd w:id="359"/>
      <w:bookmarkEnd w:id="360"/>
      <w:bookmarkEnd w:id="361"/>
      <w:bookmarkEnd w:id="362"/>
      <w:bookmarkEnd w:id="363"/>
      <w:bookmarkEnd w:id="364"/>
      <w:bookmarkEnd w:id="365"/>
      <w:bookmarkEnd w:id="366"/>
      <w:bookmarkEnd w:id="367"/>
    </w:p>
    <w:p w:rsidR="005A1B74" w:rsidRDefault="005A1B74" w:rsidP="002D1E7C">
      <w:pPr>
        <w:spacing w:before="120"/>
        <w:jc w:val="both"/>
        <w:rPr>
          <w:rFonts w:asciiTheme="minorHAnsi" w:hAnsiTheme="minorHAnsi" w:cs="Calibri"/>
          <w:sz w:val="22"/>
          <w:szCs w:val="22"/>
          <w:lang w:val="sr-Cyrl-BA"/>
        </w:rPr>
      </w:pPr>
      <w:r>
        <w:rPr>
          <w:rFonts w:asciiTheme="minorHAnsi" w:hAnsiTheme="minorHAnsi" w:cs="Calibri"/>
          <w:sz w:val="22"/>
          <w:szCs w:val="22"/>
          <w:lang w:val="sr-Cyrl-BA"/>
        </w:rPr>
        <w:t>Putem veb stranice</w:t>
      </w:r>
      <w:r w:rsidRPr="000E3830">
        <w:rPr>
          <w:rFonts w:asciiTheme="minorHAnsi" w:hAnsiTheme="minorHAnsi" w:cs="Calibri"/>
          <w:sz w:val="22"/>
          <w:szCs w:val="22"/>
          <w:lang w:val="sr-Cyrl-BA"/>
        </w:rPr>
        <w:t xml:space="preserve"> </w:t>
      </w:r>
      <w:hyperlink r:id="rId16" w:history="1">
        <w:r w:rsidRPr="006B78D5">
          <w:rPr>
            <w:rStyle w:val="Hyperlink"/>
            <w:rFonts w:asciiTheme="minorHAnsi" w:hAnsiTheme="minorHAnsi" w:cs="Calibri"/>
            <w:sz w:val="22"/>
            <w:szCs w:val="22"/>
            <w:lang w:val="sr-Latn-BA"/>
          </w:rPr>
          <w:t>www.reers.ba</w:t>
        </w:r>
      </w:hyperlink>
      <w:r>
        <w:rPr>
          <w:rFonts w:asciiTheme="minorHAnsi" w:hAnsiTheme="minorHAnsi" w:cs="Calibri"/>
          <w:sz w:val="22"/>
          <w:szCs w:val="22"/>
          <w:lang w:val="sr-Cyrl-BA"/>
        </w:rPr>
        <w:t>, Regulatorna komisija informiše</w:t>
      </w:r>
      <w:r w:rsidRPr="000E3830">
        <w:rPr>
          <w:rFonts w:asciiTheme="minorHAnsi" w:hAnsiTheme="minorHAnsi" w:cs="Calibri"/>
          <w:sz w:val="22"/>
          <w:szCs w:val="22"/>
          <w:lang w:val="sr-Latn-BA"/>
        </w:rPr>
        <w:t xml:space="preserve"> javnost o aktuelnostima iz </w:t>
      </w:r>
      <w:r>
        <w:rPr>
          <w:rFonts w:asciiTheme="minorHAnsi" w:hAnsiTheme="minorHAnsi" w:cs="Calibri"/>
          <w:sz w:val="22"/>
          <w:szCs w:val="22"/>
          <w:lang w:val="sr-Cyrl-BA"/>
        </w:rPr>
        <w:t xml:space="preserve">svoje </w:t>
      </w:r>
      <w:r w:rsidRPr="000E3830">
        <w:rPr>
          <w:rFonts w:asciiTheme="minorHAnsi" w:hAnsiTheme="minorHAnsi" w:cs="Calibri"/>
          <w:sz w:val="22"/>
          <w:szCs w:val="22"/>
          <w:lang w:val="sr-Latn-BA"/>
        </w:rPr>
        <w:t>nadležnosti</w:t>
      </w:r>
      <w:r>
        <w:rPr>
          <w:rFonts w:asciiTheme="minorHAnsi" w:hAnsiTheme="minorHAnsi" w:cs="Calibri"/>
          <w:sz w:val="22"/>
          <w:szCs w:val="22"/>
          <w:lang w:val="sr-Latn-BA"/>
        </w:rPr>
        <w:t>.</w:t>
      </w:r>
      <w:r>
        <w:rPr>
          <w:rFonts w:asciiTheme="minorHAnsi" w:hAnsiTheme="minorHAnsi" w:cs="Calibri"/>
          <w:sz w:val="22"/>
          <w:szCs w:val="22"/>
          <w:lang w:val="sr-Cyrl-BA"/>
        </w:rPr>
        <w:t xml:space="preserve"> Tokom 2024. godine,</w:t>
      </w:r>
      <w:r w:rsidRPr="000E3830">
        <w:rPr>
          <w:rFonts w:asciiTheme="minorHAnsi" w:hAnsiTheme="minorHAnsi" w:cs="Calibri"/>
          <w:sz w:val="22"/>
          <w:szCs w:val="22"/>
          <w:lang w:val="sr-Cyrl-BA"/>
        </w:rPr>
        <w:t xml:space="preserve"> prema </w:t>
      </w:r>
      <w:r>
        <w:rPr>
          <w:rFonts w:asciiTheme="minorHAnsi" w:hAnsiTheme="minorHAnsi" w:cs="Calibri"/>
          <w:sz w:val="22"/>
          <w:szCs w:val="22"/>
          <w:lang w:val="sr-Cyrl-BA"/>
        </w:rPr>
        <w:t>statističkim pokazateljima</w:t>
      </w:r>
      <w:r>
        <w:rPr>
          <w:rFonts w:asciiTheme="minorHAnsi" w:hAnsiTheme="minorHAnsi" w:cs="Calibri"/>
          <w:sz w:val="22"/>
          <w:szCs w:val="22"/>
        </w:rPr>
        <w:t xml:space="preserve"> </w:t>
      </w:r>
      <w:r>
        <w:rPr>
          <w:rFonts w:asciiTheme="minorHAnsi" w:hAnsiTheme="minorHAnsi" w:cs="Calibri"/>
          <w:sz w:val="22"/>
          <w:szCs w:val="22"/>
          <w:lang w:val="sr-Cyrl-BA"/>
        </w:rPr>
        <w:t xml:space="preserve">servisa </w:t>
      </w:r>
      <w:r>
        <w:rPr>
          <w:rFonts w:asciiTheme="minorHAnsi" w:hAnsiTheme="minorHAnsi" w:cs="Calibri"/>
          <w:sz w:val="22"/>
          <w:szCs w:val="22"/>
        </w:rPr>
        <w:t>AWStats</w:t>
      </w:r>
      <w:r>
        <w:rPr>
          <w:rFonts w:asciiTheme="minorHAnsi" w:hAnsiTheme="minorHAnsi" w:cs="Calibri"/>
          <w:sz w:val="22"/>
          <w:szCs w:val="22"/>
          <w:lang w:val="sr-Cyrl-BA"/>
        </w:rPr>
        <w:t>, ovu veb lokciju posjetilo je 90.749 jedinstvenih posjetilaca koji su realizovali ukupno</w:t>
      </w:r>
      <w:r w:rsidRPr="000E3830">
        <w:rPr>
          <w:rFonts w:asciiTheme="minorHAnsi" w:hAnsiTheme="minorHAnsi" w:cs="Calibri"/>
          <w:sz w:val="22"/>
          <w:szCs w:val="22"/>
          <w:lang w:val="sr-Cyrl-BA"/>
        </w:rPr>
        <w:t xml:space="preserve"> </w:t>
      </w:r>
      <w:r>
        <w:rPr>
          <w:rFonts w:asciiTheme="minorHAnsi" w:hAnsiTheme="minorHAnsi" w:cs="Calibri"/>
          <w:sz w:val="22"/>
          <w:szCs w:val="22"/>
          <w:lang w:val="sr-Cyrl-BA"/>
        </w:rPr>
        <w:t>15</w:t>
      </w:r>
      <w:r>
        <w:rPr>
          <w:rFonts w:asciiTheme="minorHAnsi" w:hAnsiTheme="minorHAnsi" w:cs="Calibri"/>
          <w:sz w:val="22"/>
          <w:szCs w:val="22"/>
          <w:lang w:val="bs-Latn-BA"/>
        </w:rPr>
        <w:t>3</w:t>
      </w:r>
      <w:r>
        <w:rPr>
          <w:rFonts w:asciiTheme="minorHAnsi" w:hAnsiTheme="minorHAnsi" w:cs="Calibri"/>
          <w:sz w:val="22"/>
          <w:szCs w:val="22"/>
          <w:lang w:val="sr-Cyrl-BA"/>
        </w:rPr>
        <w:t>.</w:t>
      </w:r>
      <w:r>
        <w:rPr>
          <w:rFonts w:asciiTheme="minorHAnsi" w:hAnsiTheme="minorHAnsi" w:cs="Calibri"/>
          <w:sz w:val="22"/>
          <w:szCs w:val="22"/>
          <w:lang w:val="bs-Latn-BA"/>
        </w:rPr>
        <w:t>753</w:t>
      </w:r>
      <w:r w:rsidRPr="000E3830">
        <w:rPr>
          <w:rFonts w:asciiTheme="minorHAnsi" w:hAnsiTheme="minorHAnsi" w:cs="Calibri"/>
          <w:sz w:val="22"/>
          <w:szCs w:val="22"/>
          <w:lang w:val="sr-Latn-BA"/>
        </w:rPr>
        <w:t xml:space="preserve"> posjeta</w:t>
      </w:r>
      <w:r>
        <w:rPr>
          <w:rFonts w:asciiTheme="minorHAnsi" w:hAnsiTheme="minorHAnsi" w:cs="Calibri"/>
          <w:sz w:val="22"/>
          <w:szCs w:val="22"/>
          <w:lang w:val="sr-Cyrl-BA"/>
        </w:rPr>
        <w:t xml:space="preserve">. Kao indikator angažovati korisnika može se uzeti ukupan broj stranica koje su otvorili, a on iznosi oko 850.000 stranica, dok je ukupna količina podataka koju su korisnici prenijeli sa servera 221,00 </w:t>
      </w:r>
      <w:r>
        <w:rPr>
          <w:rFonts w:asciiTheme="minorHAnsi" w:hAnsiTheme="minorHAnsi" w:cs="Calibri"/>
          <w:sz w:val="22"/>
          <w:szCs w:val="22"/>
          <w:lang w:val="sr-Latn-RS"/>
        </w:rPr>
        <w:t>GB</w:t>
      </w:r>
      <w:r>
        <w:rPr>
          <w:rFonts w:asciiTheme="minorHAnsi" w:hAnsiTheme="minorHAnsi" w:cs="Calibri"/>
          <w:sz w:val="22"/>
          <w:szCs w:val="22"/>
          <w:lang w:val="sr-Cyrl-BA"/>
        </w:rPr>
        <w:t>. Grafički prikaz ovih pokazatelja dat je na slici broj 3.</w:t>
      </w:r>
    </w:p>
    <w:p w:rsidR="005A1B74" w:rsidRDefault="005A1B74" w:rsidP="002D1E7C">
      <w:pPr>
        <w:spacing w:before="120"/>
        <w:jc w:val="both"/>
        <w:rPr>
          <w:rFonts w:asciiTheme="minorHAnsi" w:hAnsiTheme="minorHAnsi" w:cs="Calibri"/>
          <w:sz w:val="22"/>
          <w:szCs w:val="22"/>
          <w:lang w:val="sr-Cyrl-BA"/>
        </w:rPr>
      </w:pPr>
      <w:r w:rsidRPr="003B1856">
        <w:rPr>
          <w:rFonts w:asciiTheme="minorHAnsi" w:hAnsiTheme="minorHAnsi" w:cs="Calibri"/>
          <w:noProof/>
          <w:sz w:val="22"/>
          <w:szCs w:val="22"/>
          <w:lang w:val="en-GB" w:eastAsia="en-GB"/>
        </w:rPr>
        <w:drawing>
          <wp:anchor distT="0" distB="0" distL="114300" distR="114300" simplePos="0" relativeHeight="251659264" behindDoc="1" locked="0" layoutInCell="1" allowOverlap="1" wp14:anchorId="4E606020" wp14:editId="6254902D">
            <wp:simplePos x="0" y="0"/>
            <wp:positionH relativeFrom="margin">
              <wp:posOffset>612140</wp:posOffset>
            </wp:positionH>
            <wp:positionV relativeFrom="margin">
              <wp:posOffset>1910715</wp:posOffset>
            </wp:positionV>
            <wp:extent cx="4847590" cy="366014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4847590" cy="3660140"/>
                    </a:xfrm>
                    <a:prstGeom prst="rect">
                      <a:avLst/>
                    </a:prstGeom>
                  </pic:spPr>
                </pic:pic>
              </a:graphicData>
            </a:graphic>
            <wp14:sizeRelH relativeFrom="margin">
              <wp14:pctWidth>0</wp14:pctWidth>
            </wp14:sizeRelH>
            <wp14:sizeRelV relativeFrom="margin">
              <wp14:pctHeight>0</wp14:pctHeight>
            </wp14:sizeRelV>
          </wp:anchor>
        </w:drawing>
      </w:r>
    </w:p>
    <w:p w:rsidR="005A1B74" w:rsidRDefault="005A1B74" w:rsidP="002D1E7C">
      <w:pPr>
        <w:spacing w:before="120"/>
        <w:jc w:val="both"/>
        <w:rPr>
          <w:rFonts w:asciiTheme="minorHAnsi" w:hAnsiTheme="minorHAnsi" w:cs="Calibri"/>
          <w:sz w:val="22"/>
          <w:szCs w:val="22"/>
          <w:lang w:val="sr-Cyrl-BA"/>
        </w:rPr>
      </w:pPr>
    </w:p>
    <w:p w:rsidR="005A1B74" w:rsidRDefault="005A1B74" w:rsidP="002D1E7C">
      <w:pPr>
        <w:spacing w:before="120"/>
        <w:jc w:val="both"/>
        <w:rPr>
          <w:rFonts w:asciiTheme="minorHAnsi" w:hAnsiTheme="minorHAnsi" w:cs="Calibri"/>
          <w:sz w:val="22"/>
          <w:szCs w:val="22"/>
          <w:lang w:val="sr-Cyrl-BA"/>
        </w:rPr>
      </w:pPr>
    </w:p>
    <w:p w:rsidR="005A1B74" w:rsidRDefault="005A1B74" w:rsidP="002D1E7C">
      <w:pPr>
        <w:spacing w:before="120"/>
        <w:jc w:val="both"/>
        <w:rPr>
          <w:rFonts w:asciiTheme="minorHAnsi" w:hAnsiTheme="minorHAnsi" w:cs="Calibri"/>
          <w:sz w:val="22"/>
          <w:szCs w:val="22"/>
          <w:lang w:val="sr-Cyrl-BA"/>
        </w:rPr>
      </w:pPr>
    </w:p>
    <w:p w:rsidR="005A1B74" w:rsidRDefault="005A1B74" w:rsidP="002D1E7C">
      <w:pPr>
        <w:spacing w:before="120" w:after="120"/>
        <w:jc w:val="both"/>
        <w:rPr>
          <w:rFonts w:asciiTheme="minorHAnsi" w:hAnsiTheme="minorHAnsi" w:cs="Calibri"/>
          <w:sz w:val="22"/>
          <w:szCs w:val="22"/>
          <w:lang w:val="sr-Cyrl-BA"/>
        </w:rPr>
      </w:pPr>
      <w:r>
        <w:rPr>
          <w:rFonts w:asciiTheme="minorHAnsi" w:hAnsiTheme="minorHAnsi" w:cs="Calibri"/>
          <w:sz w:val="22"/>
          <w:szCs w:val="22"/>
          <w:lang w:val="sr-Cyrl-BA"/>
        </w:rPr>
        <w:t xml:space="preserve"> </w:t>
      </w:r>
    </w:p>
    <w:p w:rsidR="005A1B74" w:rsidRDefault="005A1B74" w:rsidP="002D1E7C">
      <w:pPr>
        <w:spacing w:before="120" w:after="120"/>
        <w:jc w:val="both"/>
        <w:rPr>
          <w:rFonts w:asciiTheme="minorHAnsi" w:hAnsiTheme="minorHAnsi" w:cs="Calibri"/>
          <w:sz w:val="22"/>
          <w:szCs w:val="22"/>
          <w:lang w:val="sr-Cyrl-BA"/>
        </w:rPr>
      </w:pPr>
    </w:p>
    <w:p w:rsidR="005A1B74" w:rsidRDefault="005A1B74" w:rsidP="002D1E7C">
      <w:pPr>
        <w:spacing w:before="120" w:after="120"/>
        <w:jc w:val="both"/>
        <w:rPr>
          <w:rFonts w:asciiTheme="minorHAnsi" w:hAnsiTheme="minorHAnsi" w:cs="Calibri"/>
          <w:sz w:val="22"/>
          <w:szCs w:val="22"/>
          <w:lang w:val="sr-Cyrl-BA"/>
        </w:rPr>
      </w:pPr>
    </w:p>
    <w:p w:rsidR="005A1B74" w:rsidRDefault="005A1B74" w:rsidP="002D1E7C">
      <w:pPr>
        <w:spacing w:before="120" w:after="120"/>
        <w:jc w:val="both"/>
        <w:rPr>
          <w:rFonts w:asciiTheme="minorHAnsi" w:hAnsiTheme="minorHAnsi" w:cs="Calibri"/>
          <w:sz w:val="22"/>
          <w:szCs w:val="22"/>
          <w:lang w:val="sr-Cyrl-BA"/>
        </w:rPr>
      </w:pPr>
    </w:p>
    <w:p w:rsidR="005A1B74" w:rsidRDefault="005A1B74" w:rsidP="002D1E7C">
      <w:pPr>
        <w:spacing w:before="120" w:after="120"/>
        <w:jc w:val="both"/>
        <w:rPr>
          <w:rFonts w:asciiTheme="minorHAnsi" w:hAnsiTheme="minorHAnsi" w:cs="Calibri"/>
          <w:sz w:val="22"/>
          <w:szCs w:val="22"/>
          <w:lang w:val="sr-Cyrl-BA"/>
        </w:rPr>
      </w:pPr>
    </w:p>
    <w:p w:rsidR="005A1B74" w:rsidRDefault="005A1B74" w:rsidP="002D1E7C">
      <w:pPr>
        <w:spacing w:before="120" w:after="120"/>
        <w:jc w:val="both"/>
        <w:rPr>
          <w:rFonts w:asciiTheme="minorHAnsi" w:hAnsiTheme="minorHAnsi" w:cs="Calibri"/>
          <w:sz w:val="22"/>
          <w:szCs w:val="22"/>
          <w:lang w:val="sr-Cyrl-BA"/>
        </w:rPr>
      </w:pPr>
    </w:p>
    <w:p w:rsidR="005A1B74" w:rsidRDefault="005A1B74" w:rsidP="002D1E7C">
      <w:pPr>
        <w:spacing w:before="120" w:after="120"/>
        <w:jc w:val="both"/>
        <w:rPr>
          <w:rFonts w:asciiTheme="minorHAnsi" w:hAnsiTheme="minorHAnsi" w:cs="Calibri"/>
          <w:sz w:val="22"/>
          <w:szCs w:val="22"/>
          <w:lang w:val="sr-Cyrl-BA"/>
        </w:rPr>
      </w:pPr>
    </w:p>
    <w:p w:rsidR="005A1B74" w:rsidRDefault="005A1B74" w:rsidP="002D1E7C">
      <w:pPr>
        <w:spacing w:before="120" w:after="120"/>
        <w:jc w:val="both"/>
        <w:rPr>
          <w:rFonts w:asciiTheme="minorHAnsi" w:hAnsiTheme="minorHAnsi" w:cs="Calibri"/>
          <w:sz w:val="22"/>
          <w:szCs w:val="22"/>
          <w:lang w:val="sr-Cyrl-BA"/>
        </w:rPr>
      </w:pPr>
    </w:p>
    <w:p w:rsidR="005A1B74" w:rsidRDefault="005A1B74" w:rsidP="002D1E7C">
      <w:pPr>
        <w:spacing w:before="120" w:after="120"/>
        <w:jc w:val="both"/>
        <w:rPr>
          <w:rFonts w:asciiTheme="minorHAnsi" w:hAnsiTheme="minorHAnsi" w:cs="Calibri"/>
          <w:sz w:val="22"/>
          <w:szCs w:val="22"/>
          <w:lang w:val="sr-Cyrl-BA"/>
        </w:rPr>
      </w:pPr>
    </w:p>
    <w:p w:rsidR="005A1B74" w:rsidRDefault="005A1B74" w:rsidP="002D1E7C">
      <w:pPr>
        <w:spacing w:before="120" w:after="120"/>
        <w:jc w:val="both"/>
        <w:rPr>
          <w:rFonts w:asciiTheme="minorHAnsi" w:hAnsiTheme="minorHAnsi" w:cs="Calibri"/>
          <w:sz w:val="22"/>
          <w:szCs w:val="22"/>
          <w:lang w:val="sr-Cyrl-BA"/>
        </w:rPr>
      </w:pPr>
    </w:p>
    <w:p w:rsidR="005A1B74" w:rsidRDefault="005A1B74" w:rsidP="002D1E7C">
      <w:pPr>
        <w:spacing w:before="120" w:after="120"/>
        <w:jc w:val="both"/>
        <w:rPr>
          <w:rFonts w:asciiTheme="minorHAnsi" w:hAnsiTheme="minorHAnsi" w:cs="Calibri"/>
          <w:sz w:val="22"/>
          <w:szCs w:val="22"/>
          <w:lang w:val="sr-Cyrl-BA"/>
        </w:rPr>
      </w:pPr>
    </w:p>
    <w:p w:rsidR="005A1B74" w:rsidRDefault="005A1B74" w:rsidP="002D1E7C">
      <w:pPr>
        <w:spacing w:before="120" w:after="120"/>
        <w:jc w:val="both"/>
        <w:rPr>
          <w:rFonts w:asciiTheme="minorHAnsi" w:hAnsiTheme="minorHAnsi" w:cs="Calibri"/>
          <w:sz w:val="22"/>
          <w:szCs w:val="22"/>
          <w:lang w:val="sr-Cyrl-BA"/>
        </w:rPr>
      </w:pPr>
    </w:p>
    <w:p w:rsidR="00D93180" w:rsidRDefault="00D93180" w:rsidP="002D1E7C">
      <w:pPr>
        <w:spacing w:before="120" w:after="120"/>
        <w:jc w:val="center"/>
        <w:rPr>
          <w:rFonts w:asciiTheme="minorHAnsi" w:hAnsiTheme="minorHAnsi" w:cs="Calibri"/>
          <w:b/>
          <w:sz w:val="20"/>
          <w:szCs w:val="20"/>
          <w:lang w:val="bs-Latn-BA"/>
        </w:rPr>
      </w:pPr>
    </w:p>
    <w:p w:rsidR="00D93180" w:rsidRDefault="00D93180" w:rsidP="002D1E7C">
      <w:pPr>
        <w:spacing w:before="120" w:after="120"/>
        <w:jc w:val="center"/>
        <w:rPr>
          <w:rFonts w:asciiTheme="minorHAnsi" w:hAnsiTheme="minorHAnsi" w:cs="Calibri"/>
          <w:b/>
          <w:sz w:val="20"/>
          <w:szCs w:val="20"/>
          <w:lang w:val="bs-Latn-BA"/>
        </w:rPr>
      </w:pPr>
    </w:p>
    <w:p w:rsidR="005A1B74" w:rsidRDefault="005A1B74" w:rsidP="002D1E7C">
      <w:pPr>
        <w:spacing w:before="120" w:after="120"/>
        <w:jc w:val="center"/>
        <w:rPr>
          <w:rFonts w:asciiTheme="minorHAnsi" w:hAnsiTheme="minorHAnsi"/>
          <w:lang w:val="sr-Cyrl-BA"/>
        </w:rPr>
      </w:pPr>
      <w:bookmarkStart w:id="368" w:name="_GoBack"/>
      <w:bookmarkEnd w:id="368"/>
      <w:r w:rsidRPr="000E3830">
        <w:rPr>
          <w:rFonts w:asciiTheme="minorHAnsi" w:hAnsiTheme="minorHAnsi" w:cs="Calibri"/>
          <w:b/>
          <w:sz w:val="20"/>
          <w:szCs w:val="20"/>
          <w:lang w:val="ru-RU"/>
        </w:rPr>
        <w:t xml:space="preserve">Slika </w:t>
      </w:r>
      <w:r>
        <w:rPr>
          <w:rFonts w:asciiTheme="minorHAnsi" w:hAnsiTheme="minorHAnsi" w:cs="Calibri"/>
          <w:b/>
          <w:sz w:val="20"/>
          <w:szCs w:val="20"/>
          <w:lang w:val="ru-RU"/>
        </w:rPr>
        <w:t>3</w:t>
      </w:r>
      <w:r w:rsidRPr="000E3830">
        <w:rPr>
          <w:rFonts w:asciiTheme="minorHAnsi" w:hAnsiTheme="minorHAnsi" w:cs="Calibri"/>
          <w:i/>
          <w:sz w:val="22"/>
          <w:szCs w:val="22"/>
          <w:lang w:val="ru-RU"/>
        </w:rPr>
        <w:t xml:space="preserve"> –</w:t>
      </w:r>
      <w:r>
        <w:rPr>
          <w:rFonts w:asciiTheme="minorHAnsi" w:hAnsiTheme="minorHAnsi" w:cs="Calibri"/>
          <w:i/>
          <w:sz w:val="22"/>
          <w:szCs w:val="22"/>
          <w:lang w:val="ru-RU"/>
        </w:rPr>
        <w:t>Pregled pokazatelja posjećenosti internet stranice Regulatorne komis</w:t>
      </w:r>
      <w:r w:rsidRPr="0083405F">
        <w:rPr>
          <w:rFonts w:asciiTheme="minorHAnsi" w:hAnsiTheme="minorHAnsi" w:cs="Calibri"/>
          <w:i/>
          <w:sz w:val="22"/>
          <w:szCs w:val="22"/>
          <w:lang w:val="ru-RU"/>
        </w:rPr>
        <w:t xml:space="preserve">ije </w:t>
      </w:r>
      <w:r>
        <w:rPr>
          <w:rFonts w:asciiTheme="minorHAnsi" w:hAnsiTheme="minorHAnsi" w:cs="Calibri"/>
          <w:i/>
          <w:sz w:val="22"/>
          <w:szCs w:val="22"/>
          <w:lang w:val="sr-Cyrl-BA"/>
        </w:rPr>
        <w:t>tokom 2024. godine</w:t>
      </w:r>
    </w:p>
    <w:p w:rsidR="005A1B74" w:rsidRPr="008961C6" w:rsidRDefault="005A1B74" w:rsidP="002D1E7C">
      <w:pPr>
        <w:spacing w:before="120"/>
        <w:jc w:val="both"/>
        <w:rPr>
          <w:rFonts w:asciiTheme="minorHAnsi" w:hAnsiTheme="minorHAnsi" w:cs="Calibri"/>
          <w:sz w:val="20"/>
          <w:szCs w:val="20"/>
          <w:lang w:val="bs-Latn-BA"/>
        </w:rPr>
      </w:pPr>
      <w:r w:rsidRPr="008961C6">
        <w:rPr>
          <w:rFonts w:asciiTheme="minorHAnsi" w:hAnsiTheme="minorHAnsi" w:cs="Calibri"/>
          <w:sz w:val="20"/>
          <w:szCs w:val="20"/>
          <w:lang w:val="sr-Cyrl-BA"/>
        </w:rPr>
        <w:t xml:space="preserve">Napomena: </w:t>
      </w:r>
      <w:r w:rsidRPr="008961C6">
        <w:rPr>
          <w:rFonts w:asciiTheme="minorHAnsi" w:hAnsiTheme="minorHAnsi" w:cs="Calibri"/>
          <w:i/>
          <w:sz w:val="20"/>
          <w:szCs w:val="20"/>
          <w:lang w:val="sr-Cyrl-BA"/>
        </w:rPr>
        <w:t>U prijašnjim izvještajima su koriš</w:t>
      </w:r>
      <w:r w:rsidR="00CF13CD">
        <w:rPr>
          <w:rFonts w:asciiTheme="minorHAnsi" w:hAnsiTheme="minorHAnsi" w:cs="Calibri"/>
          <w:i/>
          <w:sz w:val="20"/>
          <w:szCs w:val="20"/>
          <w:lang w:val="sr-Latn-RS"/>
        </w:rPr>
        <w:t>ć</w:t>
      </w:r>
      <w:r w:rsidRPr="008961C6">
        <w:rPr>
          <w:rFonts w:asciiTheme="minorHAnsi" w:hAnsiTheme="minorHAnsi" w:cs="Calibri"/>
          <w:i/>
          <w:sz w:val="20"/>
          <w:szCs w:val="20"/>
          <w:lang w:val="sr-Cyrl-BA"/>
        </w:rPr>
        <w:t>eni podaci Google Analytics</w:t>
      </w:r>
      <w:r>
        <w:rPr>
          <w:rFonts w:asciiTheme="minorHAnsi" w:hAnsiTheme="minorHAnsi" w:cs="Calibri"/>
          <w:i/>
          <w:sz w:val="20"/>
          <w:szCs w:val="20"/>
          <w:lang w:val="bs-Latn-BA"/>
        </w:rPr>
        <w:t xml:space="preserve"> (GA4)</w:t>
      </w:r>
      <w:r w:rsidRPr="008961C6">
        <w:rPr>
          <w:rFonts w:asciiTheme="minorHAnsi" w:hAnsiTheme="minorHAnsi" w:cs="Calibri"/>
          <w:i/>
          <w:sz w:val="20"/>
          <w:szCs w:val="20"/>
          <w:lang w:val="sr-Cyrl-BA"/>
        </w:rPr>
        <w:t xml:space="preserve"> servisa koji koristi drugačiju metodologiju za utvrđivanje statističkih podataka u odnosu na AWStats</w:t>
      </w:r>
    </w:p>
    <w:p w:rsidR="005A1B74" w:rsidRPr="002065DC" w:rsidRDefault="005A1B74" w:rsidP="002D1E7C">
      <w:pPr>
        <w:jc w:val="both"/>
        <w:rPr>
          <w:rFonts w:asciiTheme="minorHAnsi" w:hAnsiTheme="minorHAnsi"/>
          <w:lang w:val="bs-Latn-BA"/>
        </w:rPr>
      </w:pPr>
    </w:p>
    <w:sectPr w:rsidR="005A1B74" w:rsidRPr="002065DC" w:rsidSect="00932B34">
      <w:headerReference w:type="even" r:id="rId18"/>
      <w:headerReference w:type="default" r:id="rId19"/>
      <w:footerReference w:type="even" r:id="rId20"/>
      <w:footerReference w:type="default" r:id="rId21"/>
      <w:headerReference w:type="first" r:id="rId22"/>
      <w:footerReference w:type="first" r:id="rId23"/>
      <w:pgSz w:w="11906" w:h="16838" w:code="9"/>
      <w:pgMar w:top="1418" w:right="1416"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6919" w:rsidRDefault="00DB6919">
      <w:r>
        <w:separator/>
      </w:r>
    </w:p>
  </w:endnote>
  <w:endnote w:type="continuationSeparator" w:id="0">
    <w:p w:rsidR="00DB6919" w:rsidRDefault="00DB6919">
      <w:r>
        <w:continuationSeparator/>
      </w:r>
    </w:p>
  </w:endnote>
  <w:endnote w:type="continuationNotice" w:id="1">
    <w:p w:rsidR="00DB6919" w:rsidRDefault="00DB69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Math">
    <w:panose1 w:val="02040503050406030204"/>
    <w:charset w:val="EE"/>
    <w:family w:val="roman"/>
    <w:pitch w:val="variable"/>
    <w:sig w:usb0="E00002FF" w:usb1="42002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Times Cirilica">
    <w:altName w:val="Courier New"/>
    <w:panose1 w:val="00000000000000000000"/>
    <w:charset w:val="00"/>
    <w:family w:val="swiss"/>
    <w:notTrueType/>
    <w:pitch w:val="variable"/>
    <w:sig w:usb0="00000003" w:usb1="00000000" w:usb2="00000000" w:usb3="00000000" w:csb0="00000001" w:csb1="00000000"/>
  </w:font>
  <w:font w:name="Contus T CR">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Times">
    <w:panose1 w:val="02020603050405020304"/>
    <w:charset w:val="EE"/>
    <w:family w:val="roman"/>
    <w:pitch w:val="variable"/>
    <w:sig w:usb0="E0002AFF" w:usb1="C0007841" w:usb2="00000009" w:usb3="00000000" w:csb0="000001FF" w:csb1="00000000"/>
  </w:font>
  <w:font w:name="EY Gothic Cond Medium">
    <w:charset w:val="00"/>
    <w:family w:val="auto"/>
    <w:pitch w:val="variable"/>
    <w:sig w:usb0="800000A7" w:usb1="00000040" w:usb2="00000000" w:usb3="00000000" w:csb0="00000009" w:csb1="00000000"/>
  </w:font>
  <w:font w:name="HR Times New Roman EE/ISO 8859">
    <w:altName w:val="Times New Roman"/>
    <w:charset w:val="EE"/>
    <w:family w:val="roman"/>
    <w:pitch w:val="variable"/>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 w:name="Cambria-Bold">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E7C" w:rsidRDefault="002D1E7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E7C" w:rsidRPr="00427960" w:rsidRDefault="002D1E7C" w:rsidP="00C83D7F">
    <w:pPr>
      <w:pStyle w:val="Footer"/>
      <w:jc w:val="right"/>
      <w:rPr>
        <w:rFonts w:ascii="Cambria" w:hAnsi="Cambria"/>
        <w:color w:val="7F7F7F"/>
        <w:sz w:val="20"/>
        <w:szCs w:val="20"/>
        <w:lang w:val="sr-Cyrl-BA"/>
      </w:rPr>
    </w:pPr>
    <w:r w:rsidRPr="00B512BF">
      <w:rPr>
        <w:rFonts w:ascii="Cambria" w:hAnsi="Cambria"/>
        <w:bCs/>
        <w:color w:val="7F7F7F"/>
        <w:sz w:val="20"/>
        <w:szCs w:val="20"/>
      </w:rPr>
      <w:fldChar w:fldCharType="begin"/>
    </w:r>
    <w:r w:rsidRPr="00B512BF">
      <w:rPr>
        <w:rFonts w:ascii="Cambria" w:hAnsi="Cambria"/>
        <w:bCs/>
        <w:color w:val="7F7F7F"/>
        <w:sz w:val="20"/>
        <w:szCs w:val="20"/>
      </w:rPr>
      <w:instrText xml:space="preserve"> PAGE </w:instrText>
    </w:r>
    <w:r w:rsidRPr="00B512BF">
      <w:rPr>
        <w:rFonts w:ascii="Cambria" w:hAnsi="Cambria"/>
        <w:bCs/>
        <w:color w:val="7F7F7F"/>
        <w:sz w:val="20"/>
        <w:szCs w:val="20"/>
      </w:rPr>
      <w:fldChar w:fldCharType="separate"/>
    </w:r>
    <w:r w:rsidR="00D93180">
      <w:rPr>
        <w:rFonts w:ascii="Cambria" w:hAnsi="Cambria"/>
        <w:bCs/>
        <w:noProof/>
        <w:color w:val="7F7F7F"/>
        <w:sz w:val="20"/>
        <w:szCs w:val="20"/>
      </w:rPr>
      <w:t>38</w:t>
    </w:r>
    <w:r w:rsidRPr="00B512BF">
      <w:rPr>
        <w:rFonts w:ascii="Cambria" w:hAnsi="Cambria"/>
        <w:bCs/>
        <w:color w:val="7F7F7F"/>
        <w:sz w:val="20"/>
        <w:szCs w:val="20"/>
      </w:rPr>
      <w:fldChar w:fldCharType="end"/>
    </w:r>
  </w:p>
  <w:p w:rsidR="002D1E7C" w:rsidRPr="00B512BF" w:rsidRDefault="002D1E7C" w:rsidP="00C83D7F">
    <w:pPr>
      <w:pStyle w:val="Footer"/>
      <w:jc w:val="right"/>
      <w:rPr>
        <w:rFonts w:ascii="Cambria" w:hAnsi="Cambria"/>
        <w:color w:val="7F7F7F"/>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E7C" w:rsidRDefault="002D1E7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6919" w:rsidRDefault="00DB6919">
      <w:r>
        <w:separator/>
      </w:r>
    </w:p>
  </w:footnote>
  <w:footnote w:type="continuationSeparator" w:id="0">
    <w:p w:rsidR="00DB6919" w:rsidRDefault="00DB6919">
      <w:r>
        <w:continuationSeparator/>
      </w:r>
    </w:p>
  </w:footnote>
  <w:footnote w:type="continuationNotice" w:id="1">
    <w:p w:rsidR="00DB6919" w:rsidRDefault="00DB6919"/>
  </w:footnote>
  <w:footnote w:id="2">
    <w:p w:rsidR="002D1E7C" w:rsidRPr="004E259A" w:rsidRDefault="002D1E7C" w:rsidP="002D1E7C">
      <w:pPr>
        <w:pStyle w:val="FootnoteText"/>
        <w:rPr>
          <w:rFonts w:asciiTheme="minorHAnsi" w:hAnsiTheme="minorHAnsi"/>
          <w:lang w:val="sr-Cyrl-RS"/>
        </w:rPr>
      </w:pPr>
      <w:r>
        <w:rPr>
          <w:rStyle w:val="FootnoteReference"/>
        </w:rPr>
        <w:footnoteRef/>
      </w:r>
      <w:r>
        <w:t xml:space="preserve"> </w:t>
      </w:r>
      <w:r>
        <w:rPr>
          <w:rFonts w:asciiTheme="minorHAnsi" w:hAnsiTheme="minorHAnsi"/>
          <w:lang w:val="sr-Cyrl-RS"/>
        </w:rPr>
        <w:t>Lista predstavlja Ugovorne strane na dan 31. decembra 2024. godine.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E7C" w:rsidRDefault="002D1E7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E7C" w:rsidRPr="005A1B74" w:rsidRDefault="002D1E7C" w:rsidP="005A1B74">
    <w:pPr>
      <w:pBdr>
        <w:bottom w:val="dotted" w:sz="4" w:space="1" w:color="auto"/>
      </w:pBdr>
      <w:jc w:val="center"/>
    </w:pPr>
    <w:r w:rsidRPr="00B512BF">
      <w:rPr>
        <w:rFonts w:ascii="Cambria" w:hAnsi="Cambria"/>
        <w:i/>
        <w:color w:val="808080"/>
        <w:sz w:val="20"/>
        <w:szCs w:val="20"/>
        <w:lang w:val="sr-Cyrl-CS"/>
      </w:rPr>
      <w:t>Izvještaj o radu Regulatorne komisije za en</w:t>
    </w:r>
    <w:r>
      <w:rPr>
        <w:rFonts w:ascii="Cambria" w:hAnsi="Cambria"/>
        <w:i/>
        <w:color w:val="808080"/>
        <w:sz w:val="20"/>
        <w:szCs w:val="20"/>
        <w:lang w:val="sr-Cyrl-CS"/>
      </w:rPr>
      <w:t>ergetiku Republike Srpske za 20</w:t>
    </w:r>
    <w:r>
      <w:rPr>
        <w:rFonts w:ascii="Cambria" w:hAnsi="Cambria"/>
        <w:i/>
        <w:color w:val="808080"/>
        <w:sz w:val="20"/>
        <w:szCs w:val="20"/>
        <w:lang w:val="bs-Latn-BA"/>
      </w:rPr>
      <w:t>24</w:t>
    </w:r>
    <w:r w:rsidRPr="00B512BF">
      <w:rPr>
        <w:rFonts w:ascii="Cambria" w:hAnsi="Cambria"/>
        <w:i/>
        <w:color w:val="808080"/>
        <w:sz w:val="20"/>
        <w:szCs w:val="20"/>
        <w:lang w:val="sr-Cyrl-CS"/>
      </w:rPr>
      <w:t>. godinu</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E7C" w:rsidRDefault="002D1E7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5pt;height:11.55pt" o:bullet="t">
        <v:imagedata r:id="rId1" o:title="mso3A1C"/>
      </v:shape>
    </w:pict>
  </w:numPicBullet>
  <w:abstractNum w:abstractNumId="0">
    <w:nsid w:val="FFFFFF82"/>
    <w:multiLevelType w:val="singleLevel"/>
    <w:tmpl w:val="D714AD8A"/>
    <w:lvl w:ilvl="0">
      <w:start w:val="1"/>
      <w:numFmt w:val="bullet"/>
      <w:pStyle w:val="prvinivonovi"/>
      <w:lvlText w:val=""/>
      <w:lvlJc w:val="left"/>
      <w:pPr>
        <w:tabs>
          <w:tab w:val="num" w:pos="1080"/>
        </w:tabs>
        <w:ind w:left="1080" w:hanging="360"/>
      </w:pPr>
      <w:rPr>
        <w:rFonts w:ascii="Symbol" w:hAnsi="Symbol" w:hint="default"/>
      </w:rPr>
    </w:lvl>
  </w:abstractNum>
  <w:abstractNum w:abstractNumId="1">
    <w:nsid w:val="FFFFFF83"/>
    <w:multiLevelType w:val="singleLevel"/>
    <w:tmpl w:val="E47038B4"/>
    <w:lvl w:ilvl="0">
      <w:start w:val="1"/>
      <w:numFmt w:val="bullet"/>
      <w:pStyle w:val="ListBullet3"/>
      <w:lvlText w:val=""/>
      <w:lvlJc w:val="left"/>
      <w:pPr>
        <w:tabs>
          <w:tab w:val="num" w:pos="720"/>
        </w:tabs>
        <w:ind w:left="720" w:hanging="360"/>
      </w:pPr>
      <w:rPr>
        <w:rFonts w:ascii="Symbol" w:hAnsi="Symbol" w:hint="default"/>
      </w:rPr>
    </w:lvl>
  </w:abstractNum>
  <w:abstractNum w:abstractNumId="2">
    <w:nsid w:val="023C675A"/>
    <w:multiLevelType w:val="hybridMultilevel"/>
    <w:tmpl w:val="8A86C12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3B85F6F"/>
    <w:multiLevelType w:val="hybridMultilevel"/>
    <w:tmpl w:val="D21AB1EC"/>
    <w:lvl w:ilvl="0" w:tplc="04090001">
      <w:start w:val="1"/>
      <w:numFmt w:val="bullet"/>
      <w:lvlText w:val=""/>
      <w:lvlJc w:val="left"/>
      <w:pPr>
        <w:tabs>
          <w:tab w:val="num" w:pos="1850"/>
        </w:tabs>
        <w:ind w:left="1850" w:hanging="360"/>
      </w:pPr>
      <w:rPr>
        <w:rFonts w:ascii="Symbol" w:hAnsi="Symbol" w:hint="default"/>
      </w:rPr>
    </w:lvl>
    <w:lvl w:ilvl="1" w:tplc="141A0003">
      <w:start w:val="1"/>
      <w:numFmt w:val="bullet"/>
      <w:lvlText w:val="o"/>
      <w:lvlJc w:val="left"/>
      <w:pPr>
        <w:tabs>
          <w:tab w:val="num" w:pos="2570"/>
        </w:tabs>
        <w:ind w:left="2570" w:hanging="360"/>
      </w:pPr>
      <w:rPr>
        <w:rFonts w:ascii="Courier New" w:hAnsi="Courier New" w:hint="default"/>
      </w:rPr>
    </w:lvl>
    <w:lvl w:ilvl="2" w:tplc="141A0005" w:tentative="1">
      <w:start w:val="1"/>
      <w:numFmt w:val="bullet"/>
      <w:lvlText w:val=""/>
      <w:lvlJc w:val="left"/>
      <w:pPr>
        <w:tabs>
          <w:tab w:val="num" w:pos="3290"/>
        </w:tabs>
        <w:ind w:left="3290" w:hanging="360"/>
      </w:pPr>
      <w:rPr>
        <w:rFonts w:ascii="Wingdings" w:hAnsi="Wingdings" w:hint="default"/>
      </w:rPr>
    </w:lvl>
    <w:lvl w:ilvl="3" w:tplc="141A0001" w:tentative="1">
      <w:start w:val="1"/>
      <w:numFmt w:val="bullet"/>
      <w:lvlText w:val=""/>
      <w:lvlJc w:val="left"/>
      <w:pPr>
        <w:tabs>
          <w:tab w:val="num" w:pos="4010"/>
        </w:tabs>
        <w:ind w:left="4010" w:hanging="360"/>
      </w:pPr>
      <w:rPr>
        <w:rFonts w:ascii="Symbol" w:hAnsi="Symbol" w:hint="default"/>
      </w:rPr>
    </w:lvl>
    <w:lvl w:ilvl="4" w:tplc="141A0003" w:tentative="1">
      <w:start w:val="1"/>
      <w:numFmt w:val="bullet"/>
      <w:lvlText w:val="o"/>
      <w:lvlJc w:val="left"/>
      <w:pPr>
        <w:tabs>
          <w:tab w:val="num" w:pos="4730"/>
        </w:tabs>
        <w:ind w:left="4730" w:hanging="360"/>
      </w:pPr>
      <w:rPr>
        <w:rFonts w:ascii="Courier New" w:hAnsi="Courier New" w:hint="default"/>
      </w:rPr>
    </w:lvl>
    <w:lvl w:ilvl="5" w:tplc="141A0005" w:tentative="1">
      <w:start w:val="1"/>
      <w:numFmt w:val="bullet"/>
      <w:lvlText w:val=""/>
      <w:lvlJc w:val="left"/>
      <w:pPr>
        <w:tabs>
          <w:tab w:val="num" w:pos="5450"/>
        </w:tabs>
        <w:ind w:left="5450" w:hanging="360"/>
      </w:pPr>
      <w:rPr>
        <w:rFonts w:ascii="Wingdings" w:hAnsi="Wingdings" w:hint="default"/>
      </w:rPr>
    </w:lvl>
    <w:lvl w:ilvl="6" w:tplc="141A0001" w:tentative="1">
      <w:start w:val="1"/>
      <w:numFmt w:val="bullet"/>
      <w:lvlText w:val=""/>
      <w:lvlJc w:val="left"/>
      <w:pPr>
        <w:tabs>
          <w:tab w:val="num" w:pos="6170"/>
        </w:tabs>
        <w:ind w:left="6170" w:hanging="360"/>
      </w:pPr>
      <w:rPr>
        <w:rFonts w:ascii="Symbol" w:hAnsi="Symbol" w:hint="default"/>
      </w:rPr>
    </w:lvl>
    <w:lvl w:ilvl="7" w:tplc="141A0003" w:tentative="1">
      <w:start w:val="1"/>
      <w:numFmt w:val="bullet"/>
      <w:lvlText w:val="o"/>
      <w:lvlJc w:val="left"/>
      <w:pPr>
        <w:tabs>
          <w:tab w:val="num" w:pos="6890"/>
        </w:tabs>
        <w:ind w:left="6890" w:hanging="360"/>
      </w:pPr>
      <w:rPr>
        <w:rFonts w:ascii="Courier New" w:hAnsi="Courier New" w:hint="default"/>
      </w:rPr>
    </w:lvl>
    <w:lvl w:ilvl="8" w:tplc="141A0005" w:tentative="1">
      <w:start w:val="1"/>
      <w:numFmt w:val="bullet"/>
      <w:lvlText w:val=""/>
      <w:lvlJc w:val="left"/>
      <w:pPr>
        <w:tabs>
          <w:tab w:val="num" w:pos="7610"/>
        </w:tabs>
        <w:ind w:left="7610" w:hanging="360"/>
      </w:pPr>
      <w:rPr>
        <w:rFonts w:ascii="Wingdings" w:hAnsi="Wingdings" w:hint="default"/>
      </w:rPr>
    </w:lvl>
  </w:abstractNum>
  <w:abstractNum w:abstractNumId="4">
    <w:nsid w:val="0B753958"/>
    <w:multiLevelType w:val="hybridMultilevel"/>
    <w:tmpl w:val="5C627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7C576B"/>
    <w:multiLevelType w:val="multilevel"/>
    <w:tmpl w:val="29FAEB36"/>
    <w:lvl w:ilvl="0">
      <w:start w:val="2"/>
      <w:numFmt w:val="decimal"/>
      <w:lvlText w:val="%1."/>
      <w:lvlJc w:val="left"/>
      <w:pPr>
        <w:ind w:left="540" w:hanging="54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nsid w:val="1C232AF1"/>
    <w:multiLevelType w:val="multilevel"/>
    <w:tmpl w:val="141A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nsid w:val="220433D0"/>
    <w:multiLevelType w:val="hybridMultilevel"/>
    <w:tmpl w:val="BB6A69FE"/>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
    <w:nsid w:val="2DEE3A7E"/>
    <w:multiLevelType w:val="hybridMultilevel"/>
    <w:tmpl w:val="B64E409A"/>
    <w:lvl w:ilvl="0" w:tplc="04090007">
      <w:start w:val="1"/>
      <w:numFmt w:val="bullet"/>
      <w:lvlText w:val=""/>
      <w:lvlPicBulletId w:val="0"/>
      <w:lvlJc w:val="left"/>
      <w:pPr>
        <w:tabs>
          <w:tab w:val="num" w:pos="720"/>
        </w:tabs>
        <w:ind w:left="720" w:hanging="360"/>
      </w:pPr>
      <w:rPr>
        <w:rFonts w:ascii="Symbol" w:hAnsi="Symbol" w:hint="default"/>
        <w:color w:val="auto"/>
      </w:rPr>
    </w:lvl>
    <w:lvl w:ilvl="1" w:tplc="304403EE">
      <w:start w:val="1"/>
      <w:numFmt w:val="decimal"/>
      <w:lvlText w:val="%2."/>
      <w:lvlJc w:val="left"/>
      <w:pPr>
        <w:tabs>
          <w:tab w:val="num" w:pos="1440"/>
        </w:tabs>
        <w:ind w:left="1440" w:hanging="360"/>
      </w:pPr>
      <w:rPr>
        <w:rFonts w:ascii="Calibri" w:hAnsi="Calibri" w:cs="Times New Roman" w:hint="default"/>
        <w:b w:val="0"/>
        <w:sz w:val="20"/>
        <w:szCs w:val="24"/>
      </w:rPr>
    </w:lvl>
    <w:lvl w:ilvl="2" w:tplc="4B345E9C">
      <w:start w:val="1"/>
      <w:numFmt w:val="bullet"/>
      <w:lvlText w:val=""/>
      <w:lvlJc w:val="left"/>
      <w:pPr>
        <w:tabs>
          <w:tab w:val="num" w:pos="2160"/>
        </w:tabs>
        <w:ind w:left="2160" w:hanging="360"/>
      </w:pPr>
      <w:rPr>
        <w:rFonts w:ascii="Wingdings" w:hAnsi="Wingdings" w:hint="default"/>
      </w:rPr>
    </w:lvl>
    <w:lvl w:ilvl="3" w:tplc="0FF22BA0">
      <w:start w:val="1"/>
      <w:numFmt w:val="bullet"/>
      <w:lvlText w:val=""/>
      <w:lvlJc w:val="left"/>
      <w:pPr>
        <w:tabs>
          <w:tab w:val="num" w:pos="2880"/>
        </w:tabs>
        <w:ind w:left="2880" w:hanging="360"/>
      </w:pPr>
      <w:rPr>
        <w:rFonts w:ascii="Symbol" w:hAnsi="Symbol" w:hint="default"/>
      </w:rPr>
    </w:lvl>
    <w:lvl w:ilvl="4" w:tplc="262A7810">
      <w:start w:val="1"/>
      <w:numFmt w:val="bullet"/>
      <w:lvlText w:val="o"/>
      <w:lvlJc w:val="left"/>
      <w:pPr>
        <w:tabs>
          <w:tab w:val="num" w:pos="3600"/>
        </w:tabs>
        <w:ind w:left="3600" w:hanging="360"/>
      </w:pPr>
      <w:rPr>
        <w:rFonts w:ascii="Courier New" w:hAnsi="Courier New" w:hint="default"/>
      </w:rPr>
    </w:lvl>
    <w:lvl w:ilvl="5" w:tplc="9EEE99E8">
      <w:numFmt w:val="bullet"/>
      <w:lvlText w:val="•"/>
      <w:lvlJc w:val="left"/>
      <w:pPr>
        <w:ind w:left="4320" w:hanging="360"/>
      </w:pPr>
      <w:rPr>
        <w:rFonts w:ascii="Calibri" w:eastAsia="Times New Roman" w:hAnsi="Calibri" w:cs="Calibri" w:hint="default"/>
      </w:rPr>
    </w:lvl>
    <w:lvl w:ilvl="6" w:tplc="DFDA6342">
      <w:numFmt w:val="bullet"/>
      <w:lvlText w:val="-"/>
      <w:lvlJc w:val="left"/>
      <w:pPr>
        <w:ind w:left="5040" w:hanging="360"/>
      </w:pPr>
      <w:rPr>
        <w:rFonts w:ascii="Calibri" w:eastAsia="Times New Roman" w:hAnsi="Calibri" w:cs="Times New Roman" w:hint="default"/>
      </w:rPr>
    </w:lvl>
    <w:lvl w:ilvl="7" w:tplc="303CE86A" w:tentative="1">
      <w:start w:val="1"/>
      <w:numFmt w:val="bullet"/>
      <w:lvlText w:val="o"/>
      <w:lvlJc w:val="left"/>
      <w:pPr>
        <w:tabs>
          <w:tab w:val="num" w:pos="5760"/>
        </w:tabs>
        <w:ind w:left="5760" w:hanging="360"/>
      </w:pPr>
      <w:rPr>
        <w:rFonts w:ascii="Courier New" w:hAnsi="Courier New" w:hint="default"/>
      </w:rPr>
    </w:lvl>
    <w:lvl w:ilvl="8" w:tplc="D7241D2A" w:tentative="1">
      <w:start w:val="1"/>
      <w:numFmt w:val="bullet"/>
      <w:lvlText w:val=""/>
      <w:lvlJc w:val="left"/>
      <w:pPr>
        <w:tabs>
          <w:tab w:val="num" w:pos="6480"/>
        </w:tabs>
        <w:ind w:left="6480" w:hanging="360"/>
      </w:pPr>
      <w:rPr>
        <w:rFonts w:ascii="Wingdings" w:hAnsi="Wingdings" w:hint="default"/>
      </w:rPr>
    </w:lvl>
  </w:abstractNum>
  <w:abstractNum w:abstractNumId="9">
    <w:nsid w:val="2ECB6693"/>
    <w:multiLevelType w:val="multilevel"/>
    <w:tmpl w:val="DDF6A1E0"/>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nsid w:val="348213F8"/>
    <w:multiLevelType w:val="hybridMultilevel"/>
    <w:tmpl w:val="DB447E28"/>
    <w:lvl w:ilvl="0" w:tplc="3D2AE0A6">
      <w:numFmt w:val="bullet"/>
      <w:lvlText w:val="-"/>
      <w:lvlJc w:val="left"/>
      <w:pPr>
        <w:ind w:left="720" w:hanging="360"/>
      </w:pPr>
      <w:rPr>
        <w:rFonts w:ascii="Calibri" w:eastAsia="Times New Roman" w:hAnsi="Calibri" w:cs="Calibri"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1">
    <w:nsid w:val="3598415A"/>
    <w:multiLevelType w:val="hybridMultilevel"/>
    <w:tmpl w:val="9D9E29E6"/>
    <w:lvl w:ilvl="0" w:tplc="1C1A0001">
      <w:start w:val="1"/>
      <w:numFmt w:val="bullet"/>
      <w:lvlText w:val=""/>
      <w:lvlJc w:val="left"/>
      <w:pPr>
        <w:ind w:left="720" w:hanging="360"/>
      </w:pPr>
      <w:rPr>
        <w:rFonts w:ascii="Symbol" w:hAnsi="Symbol"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12">
    <w:nsid w:val="362F65E4"/>
    <w:multiLevelType w:val="hybridMultilevel"/>
    <w:tmpl w:val="8A86C12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7ED3D46"/>
    <w:multiLevelType w:val="hybridMultilevel"/>
    <w:tmpl w:val="DCCAA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843798"/>
    <w:multiLevelType w:val="hybridMultilevel"/>
    <w:tmpl w:val="0F942284"/>
    <w:lvl w:ilvl="0" w:tplc="041A0017">
      <w:start w:val="1"/>
      <w:numFmt w:val="bullet"/>
      <w:lvlText w:val=""/>
      <w:lvlJc w:val="left"/>
      <w:pPr>
        <w:tabs>
          <w:tab w:val="num" w:pos="1856"/>
        </w:tabs>
        <w:ind w:left="1856" w:hanging="360"/>
      </w:pPr>
      <w:rPr>
        <w:rFonts w:ascii="Symbol" w:hAnsi="Symbol" w:hint="default"/>
      </w:rPr>
    </w:lvl>
    <w:lvl w:ilvl="1" w:tplc="041A0019">
      <w:start w:val="1"/>
      <w:numFmt w:val="decimal"/>
      <w:lvlText w:val="%2."/>
      <w:lvlJc w:val="left"/>
      <w:pPr>
        <w:tabs>
          <w:tab w:val="num" w:pos="2576"/>
        </w:tabs>
        <w:ind w:left="2576" w:hanging="360"/>
      </w:pPr>
      <w:rPr>
        <w:rFonts w:cs="Times New Roman" w:hint="default"/>
      </w:rPr>
    </w:lvl>
    <w:lvl w:ilvl="2" w:tplc="041A001B" w:tentative="1">
      <w:start w:val="1"/>
      <w:numFmt w:val="bullet"/>
      <w:lvlText w:val=""/>
      <w:lvlJc w:val="left"/>
      <w:pPr>
        <w:tabs>
          <w:tab w:val="num" w:pos="3296"/>
        </w:tabs>
        <w:ind w:left="3296" w:hanging="360"/>
      </w:pPr>
      <w:rPr>
        <w:rFonts w:ascii="Wingdings" w:hAnsi="Wingdings" w:hint="default"/>
      </w:rPr>
    </w:lvl>
    <w:lvl w:ilvl="3" w:tplc="041A000F" w:tentative="1">
      <w:start w:val="1"/>
      <w:numFmt w:val="bullet"/>
      <w:lvlText w:val=""/>
      <w:lvlJc w:val="left"/>
      <w:pPr>
        <w:tabs>
          <w:tab w:val="num" w:pos="4016"/>
        </w:tabs>
        <w:ind w:left="4016" w:hanging="360"/>
      </w:pPr>
      <w:rPr>
        <w:rFonts w:ascii="Symbol" w:hAnsi="Symbol" w:hint="default"/>
      </w:rPr>
    </w:lvl>
    <w:lvl w:ilvl="4" w:tplc="041A0019" w:tentative="1">
      <w:start w:val="1"/>
      <w:numFmt w:val="bullet"/>
      <w:lvlText w:val="o"/>
      <w:lvlJc w:val="left"/>
      <w:pPr>
        <w:tabs>
          <w:tab w:val="num" w:pos="4736"/>
        </w:tabs>
        <w:ind w:left="4736" w:hanging="360"/>
      </w:pPr>
      <w:rPr>
        <w:rFonts w:ascii="Courier New" w:hAnsi="Courier New" w:hint="default"/>
      </w:rPr>
    </w:lvl>
    <w:lvl w:ilvl="5" w:tplc="041A001B" w:tentative="1">
      <w:start w:val="1"/>
      <w:numFmt w:val="bullet"/>
      <w:lvlText w:val=""/>
      <w:lvlJc w:val="left"/>
      <w:pPr>
        <w:tabs>
          <w:tab w:val="num" w:pos="5456"/>
        </w:tabs>
        <w:ind w:left="5456" w:hanging="360"/>
      </w:pPr>
      <w:rPr>
        <w:rFonts w:ascii="Wingdings" w:hAnsi="Wingdings" w:hint="default"/>
      </w:rPr>
    </w:lvl>
    <w:lvl w:ilvl="6" w:tplc="041A000F" w:tentative="1">
      <w:start w:val="1"/>
      <w:numFmt w:val="bullet"/>
      <w:lvlText w:val=""/>
      <w:lvlJc w:val="left"/>
      <w:pPr>
        <w:tabs>
          <w:tab w:val="num" w:pos="6176"/>
        </w:tabs>
        <w:ind w:left="6176" w:hanging="360"/>
      </w:pPr>
      <w:rPr>
        <w:rFonts w:ascii="Symbol" w:hAnsi="Symbol" w:hint="default"/>
      </w:rPr>
    </w:lvl>
    <w:lvl w:ilvl="7" w:tplc="041A0019" w:tentative="1">
      <w:start w:val="1"/>
      <w:numFmt w:val="bullet"/>
      <w:lvlText w:val="o"/>
      <w:lvlJc w:val="left"/>
      <w:pPr>
        <w:tabs>
          <w:tab w:val="num" w:pos="6896"/>
        </w:tabs>
        <w:ind w:left="6896" w:hanging="360"/>
      </w:pPr>
      <w:rPr>
        <w:rFonts w:ascii="Courier New" w:hAnsi="Courier New" w:hint="default"/>
      </w:rPr>
    </w:lvl>
    <w:lvl w:ilvl="8" w:tplc="041A001B" w:tentative="1">
      <w:start w:val="1"/>
      <w:numFmt w:val="bullet"/>
      <w:lvlText w:val=""/>
      <w:lvlJc w:val="left"/>
      <w:pPr>
        <w:tabs>
          <w:tab w:val="num" w:pos="7616"/>
        </w:tabs>
        <w:ind w:left="7616" w:hanging="360"/>
      </w:pPr>
      <w:rPr>
        <w:rFonts w:ascii="Wingdings" w:hAnsi="Wingdings" w:hint="default"/>
      </w:rPr>
    </w:lvl>
  </w:abstractNum>
  <w:abstractNum w:abstractNumId="15">
    <w:nsid w:val="3AA057D3"/>
    <w:multiLevelType w:val="hybridMultilevel"/>
    <w:tmpl w:val="8A86C12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0414801"/>
    <w:multiLevelType w:val="multilevel"/>
    <w:tmpl w:val="0409001D"/>
    <w:styleLink w:val="proba"/>
    <w:lvl w:ilvl="0">
      <w:start w:val="1"/>
      <w:numFmt w:val="lowerLetter"/>
      <w:lvlText w:val="%1)"/>
      <w:lvlJc w:val="left"/>
      <w:pPr>
        <w:tabs>
          <w:tab w:val="num" w:pos="360"/>
        </w:tabs>
        <w:ind w:left="360" w:hanging="360"/>
      </w:pPr>
      <w:rPr>
        <w:rFonts w:ascii="Arial" w:hAnsi="Arial" w:cs="Times New Roman"/>
        <w:sz w:val="24"/>
        <w:szCs w:val="24"/>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nsid w:val="42D35AB6"/>
    <w:multiLevelType w:val="multilevel"/>
    <w:tmpl w:val="141A001F"/>
    <w:numStyleLink w:val="111111"/>
  </w:abstractNum>
  <w:abstractNum w:abstractNumId="18">
    <w:nsid w:val="44B33EC8"/>
    <w:multiLevelType w:val="hybridMultilevel"/>
    <w:tmpl w:val="6DA6D1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94F2591"/>
    <w:multiLevelType w:val="hybridMultilevel"/>
    <w:tmpl w:val="E75AE7AA"/>
    <w:lvl w:ilvl="0" w:tplc="141A0001">
      <w:start w:val="1"/>
      <w:numFmt w:val="bullet"/>
      <w:lvlText w:val=""/>
      <w:lvlJc w:val="left"/>
      <w:pPr>
        <w:tabs>
          <w:tab w:val="num" w:pos="1080"/>
        </w:tabs>
        <w:ind w:left="1080" w:hanging="360"/>
      </w:pPr>
      <w:rPr>
        <w:rFonts w:ascii="Symbol" w:hAnsi="Symbol" w:hint="default"/>
      </w:rPr>
    </w:lvl>
    <w:lvl w:ilvl="1" w:tplc="141A0003">
      <w:start w:val="1"/>
      <w:numFmt w:val="bullet"/>
      <w:lvlText w:val="o"/>
      <w:lvlJc w:val="left"/>
      <w:pPr>
        <w:tabs>
          <w:tab w:val="num" w:pos="1800"/>
        </w:tabs>
        <w:ind w:left="1800" w:hanging="360"/>
      </w:pPr>
      <w:rPr>
        <w:rFonts w:ascii="Courier New" w:hAnsi="Courier New" w:hint="default"/>
      </w:rPr>
    </w:lvl>
    <w:lvl w:ilvl="2" w:tplc="141A0005" w:tentative="1">
      <w:start w:val="1"/>
      <w:numFmt w:val="bullet"/>
      <w:lvlText w:val=""/>
      <w:lvlJc w:val="left"/>
      <w:pPr>
        <w:tabs>
          <w:tab w:val="num" w:pos="2520"/>
        </w:tabs>
        <w:ind w:left="2520" w:hanging="360"/>
      </w:pPr>
      <w:rPr>
        <w:rFonts w:ascii="Wingdings" w:hAnsi="Wingdings" w:hint="default"/>
      </w:rPr>
    </w:lvl>
    <w:lvl w:ilvl="3" w:tplc="141A0001" w:tentative="1">
      <w:start w:val="1"/>
      <w:numFmt w:val="bullet"/>
      <w:lvlText w:val=""/>
      <w:lvlJc w:val="left"/>
      <w:pPr>
        <w:tabs>
          <w:tab w:val="num" w:pos="3240"/>
        </w:tabs>
        <w:ind w:left="3240" w:hanging="360"/>
      </w:pPr>
      <w:rPr>
        <w:rFonts w:ascii="Symbol" w:hAnsi="Symbol" w:hint="default"/>
      </w:rPr>
    </w:lvl>
    <w:lvl w:ilvl="4" w:tplc="141A0003" w:tentative="1">
      <w:start w:val="1"/>
      <w:numFmt w:val="bullet"/>
      <w:lvlText w:val="o"/>
      <w:lvlJc w:val="left"/>
      <w:pPr>
        <w:tabs>
          <w:tab w:val="num" w:pos="3960"/>
        </w:tabs>
        <w:ind w:left="3960" w:hanging="360"/>
      </w:pPr>
      <w:rPr>
        <w:rFonts w:ascii="Courier New" w:hAnsi="Courier New" w:hint="default"/>
      </w:rPr>
    </w:lvl>
    <w:lvl w:ilvl="5" w:tplc="141A0005" w:tentative="1">
      <w:start w:val="1"/>
      <w:numFmt w:val="bullet"/>
      <w:lvlText w:val=""/>
      <w:lvlJc w:val="left"/>
      <w:pPr>
        <w:tabs>
          <w:tab w:val="num" w:pos="4680"/>
        </w:tabs>
        <w:ind w:left="4680" w:hanging="360"/>
      </w:pPr>
      <w:rPr>
        <w:rFonts w:ascii="Wingdings" w:hAnsi="Wingdings" w:hint="default"/>
      </w:rPr>
    </w:lvl>
    <w:lvl w:ilvl="6" w:tplc="141A0001" w:tentative="1">
      <w:start w:val="1"/>
      <w:numFmt w:val="bullet"/>
      <w:lvlText w:val=""/>
      <w:lvlJc w:val="left"/>
      <w:pPr>
        <w:tabs>
          <w:tab w:val="num" w:pos="5400"/>
        </w:tabs>
        <w:ind w:left="5400" w:hanging="360"/>
      </w:pPr>
      <w:rPr>
        <w:rFonts w:ascii="Symbol" w:hAnsi="Symbol" w:hint="default"/>
      </w:rPr>
    </w:lvl>
    <w:lvl w:ilvl="7" w:tplc="141A0003" w:tentative="1">
      <w:start w:val="1"/>
      <w:numFmt w:val="bullet"/>
      <w:lvlText w:val="o"/>
      <w:lvlJc w:val="left"/>
      <w:pPr>
        <w:tabs>
          <w:tab w:val="num" w:pos="6120"/>
        </w:tabs>
        <w:ind w:left="6120" w:hanging="360"/>
      </w:pPr>
      <w:rPr>
        <w:rFonts w:ascii="Courier New" w:hAnsi="Courier New" w:hint="default"/>
      </w:rPr>
    </w:lvl>
    <w:lvl w:ilvl="8" w:tplc="141A0005" w:tentative="1">
      <w:start w:val="1"/>
      <w:numFmt w:val="bullet"/>
      <w:lvlText w:val=""/>
      <w:lvlJc w:val="left"/>
      <w:pPr>
        <w:tabs>
          <w:tab w:val="num" w:pos="6840"/>
        </w:tabs>
        <w:ind w:left="6840" w:hanging="360"/>
      </w:pPr>
      <w:rPr>
        <w:rFonts w:ascii="Wingdings" w:hAnsi="Wingdings" w:hint="default"/>
      </w:rPr>
    </w:lvl>
  </w:abstractNum>
  <w:abstractNum w:abstractNumId="20">
    <w:nsid w:val="49E16F1C"/>
    <w:multiLevelType w:val="multilevel"/>
    <w:tmpl w:val="8502472A"/>
    <w:lvl w:ilvl="0">
      <w:start w:val="4"/>
      <w:numFmt w:val="decimal"/>
      <w:lvlText w:val="%1"/>
      <w:lvlJc w:val="left"/>
      <w:pPr>
        <w:ind w:left="360" w:hanging="360"/>
      </w:pPr>
      <w:rPr>
        <w:rFonts w:hint="default"/>
      </w:rPr>
    </w:lvl>
    <w:lvl w:ilvl="1">
      <w:start w:val="1"/>
      <w:numFmt w:val="decimal"/>
      <w:lvlText w:val="%1.%2"/>
      <w:lvlJc w:val="left"/>
      <w:pPr>
        <w:ind w:left="1218" w:hanging="360"/>
      </w:pPr>
      <w:rPr>
        <w:rFonts w:hint="default"/>
      </w:rPr>
    </w:lvl>
    <w:lvl w:ilvl="2">
      <w:start w:val="1"/>
      <w:numFmt w:val="decimal"/>
      <w:lvlText w:val="%1.%2.%3"/>
      <w:lvlJc w:val="left"/>
      <w:pPr>
        <w:ind w:left="2436" w:hanging="720"/>
      </w:pPr>
      <w:rPr>
        <w:rFonts w:hint="default"/>
      </w:rPr>
    </w:lvl>
    <w:lvl w:ilvl="3">
      <w:start w:val="1"/>
      <w:numFmt w:val="decimal"/>
      <w:lvlText w:val="%1.%2.%3.%4"/>
      <w:lvlJc w:val="left"/>
      <w:pPr>
        <w:ind w:left="3654" w:hanging="1080"/>
      </w:pPr>
      <w:rPr>
        <w:rFonts w:hint="default"/>
      </w:rPr>
    </w:lvl>
    <w:lvl w:ilvl="4">
      <w:start w:val="1"/>
      <w:numFmt w:val="decimal"/>
      <w:lvlText w:val="%1.%2.%3.%4.%5"/>
      <w:lvlJc w:val="left"/>
      <w:pPr>
        <w:ind w:left="4512" w:hanging="1080"/>
      </w:pPr>
      <w:rPr>
        <w:rFonts w:hint="default"/>
      </w:rPr>
    </w:lvl>
    <w:lvl w:ilvl="5">
      <w:start w:val="1"/>
      <w:numFmt w:val="decimal"/>
      <w:lvlText w:val="%1.%2.%3.%4.%5.%6"/>
      <w:lvlJc w:val="left"/>
      <w:pPr>
        <w:ind w:left="5730" w:hanging="1440"/>
      </w:pPr>
      <w:rPr>
        <w:rFonts w:hint="default"/>
      </w:rPr>
    </w:lvl>
    <w:lvl w:ilvl="6">
      <w:start w:val="1"/>
      <w:numFmt w:val="decimal"/>
      <w:lvlText w:val="%1.%2.%3.%4.%5.%6.%7"/>
      <w:lvlJc w:val="left"/>
      <w:pPr>
        <w:ind w:left="6588" w:hanging="1440"/>
      </w:pPr>
      <w:rPr>
        <w:rFonts w:hint="default"/>
      </w:rPr>
    </w:lvl>
    <w:lvl w:ilvl="7">
      <w:start w:val="1"/>
      <w:numFmt w:val="decimal"/>
      <w:lvlText w:val="%1.%2.%3.%4.%5.%6.%7.%8"/>
      <w:lvlJc w:val="left"/>
      <w:pPr>
        <w:ind w:left="7806" w:hanging="1800"/>
      </w:pPr>
      <w:rPr>
        <w:rFonts w:hint="default"/>
      </w:rPr>
    </w:lvl>
    <w:lvl w:ilvl="8">
      <w:start w:val="1"/>
      <w:numFmt w:val="decimal"/>
      <w:lvlText w:val="%1.%2.%3.%4.%5.%6.%7.%8.%9"/>
      <w:lvlJc w:val="left"/>
      <w:pPr>
        <w:ind w:left="8664" w:hanging="1800"/>
      </w:pPr>
      <w:rPr>
        <w:rFonts w:hint="default"/>
      </w:rPr>
    </w:lvl>
  </w:abstractNum>
  <w:abstractNum w:abstractNumId="21">
    <w:nsid w:val="4DE16E96"/>
    <w:multiLevelType w:val="hybridMultilevel"/>
    <w:tmpl w:val="8A86C12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56D32413"/>
    <w:multiLevelType w:val="hybridMultilevel"/>
    <w:tmpl w:val="3536B0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FF9186B"/>
    <w:multiLevelType w:val="hybridMultilevel"/>
    <w:tmpl w:val="19727D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60C07B02"/>
    <w:multiLevelType w:val="multilevel"/>
    <w:tmpl w:val="B27CF6E4"/>
    <w:lvl w:ilvl="0">
      <w:start w:val="2"/>
      <w:numFmt w:val="decimal"/>
      <w:lvlText w:val="%1."/>
      <w:lvlJc w:val="left"/>
      <w:pPr>
        <w:ind w:left="540" w:hanging="540"/>
      </w:pPr>
      <w:rPr>
        <w:rFonts w:hint="default"/>
      </w:rPr>
    </w:lvl>
    <w:lvl w:ilvl="1">
      <w:start w:val="2"/>
      <w:numFmt w:val="decimal"/>
      <w:lvlText w:val="%1.%2."/>
      <w:lvlJc w:val="left"/>
      <w:pPr>
        <w:ind w:left="1080" w:hanging="72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5">
    <w:nsid w:val="67FF5F43"/>
    <w:multiLevelType w:val="hybridMultilevel"/>
    <w:tmpl w:val="92E28EB0"/>
    <w:lvl w:ilvl="0" w:tplc="04090007">
      <w:start w:val="1"/>
      <w:numFmt w:val="bullet"/>
      <w:lvlText w:val=""/>
      <w:lvlPicBulletId w:val="0"/>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6916394B"/>
    <w:multiLevelType w:val="multilevel"/>
    <w:tmpl w:val="53BA5B30"/>
    <w:lvl w:ilvl="0">
      <w:start w:val="4"/>
      <w:numFmt w:val="decimal"/>
      <w:lvlText w:val="%1."/>
      <w:lvlJc w:val="left"/>
      <w:pPr>
        <w:ind w:left="420" w:hanging="4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797C49DC"/>
    <w:multiLevelType w:val="multilevel"/>
    <w:tmpl w:val="9E549EFE"/>
    <w:lvl w:ilvl="0">
      <w:start w:val="3"/>
      <w:numFmt w:val="decimal"/>
      <w:lvlText w:val="%1."/>
      <w:lvlJc w:val="left"/>
      <w:pPr>
        <w:ind w:left="420" w:hanging="420"/>
      </w:pPr>
      <w:rPr>
        <w:rFonts w:hint="default"/>
      </w:rPr>
    </w:lvl>
    <w:lvl w:ilvl="1">
      <w:start w:val="1"/>
      <w:numFmt w:val="decimal"/>
      <w:lvlText w:val="%1.%2."/>
      <w:lvlJc w:val="left"/>
      <w:pPr>
        <w:ind w:left="2138"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5334" w:hanging="108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530" w:hanging="144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726" w:hanging="1800"/>
      </w:pPr>
      <w:rPr>
        <w:rFonts w:hint="default"/>
      </w:rPr>
    </w:lvl>
    <w:lvl w:ilvl="8">
      <w:start w:val="1"/>
      <w:numFmt w:val="decimal"/>
      <w:lvlText w:val="%1.%2.%3.%4.%5.%6.%7.%8.%9."/>
      <w:lvlJc w:val="left"/>
      <w:pPr>
        <w:ind w:left="13144" w:hanging="1800"/>
      </w:pPr>
      <w:rPr>
        <w:rFonts w:hint="default"/>
      </w:rPr>
    </w:lvl>
  </w:abstractNum>
  <w:abstractNum w:abstractNumId="28">
    <w:nsid w:val="7B1B7E54"/>
    <w:multiLevelType w:val="multilevel"/>
    <w:tmpl w:val="1E2842C0"/>
    <w:lvl w:ilvl="0">
      <w:start w:val="1"/>
      <w:numFmt w:val="decimal"/>
      <w:pStyle w:val="a"/>
      <w:lvlText w:val="%1."/>
      <w:lvlJc w:val="left"/>
      <w:pPr>
        <w:tabs>
          <w:tab w:val="num" w:pos="360"/>
        </w:tabs>
        <w:ind w:left="360" w:hanging="360"/>
      </w:pPr>
      <w:rPr>
        <w:rFonts w:cs="Times New Roman"/>
      </w:rPr>
    </w:lvl>
    <w:lvl w:ilvl="1">
      <w:start w:val="1"/>
      <w:numFmt w:val="decimal"/>
      <w:pStyle w:val="a0"/>
      <w:lvlText w:val="%1.%2."/>
      <w:lvlJc w:val="left"/>
      <w:pPr>
        <w:tabs>
          <w:tab w:val="num" w:pos="1080"/>
        </w:tabs>
        <w:ind w:left="792" w:hanging="432"/>
      </w:pPr>
      <w:rPr>
        <w:rFonts w:ascii="Times New Roman" w:hAnsi="Times New Roman" w:cs="Times New Roman" w:hint="default"/>
        <w:b w:val="0"/>
        <w:i w:val="0"/>
        <w:color w:val="auto"/>
        <w:sz w:val="24"/>
        <w:szCs w:val="24"/>
      </w:rPr>
    </w:lvl>
    <w:lvl w:ilvl="2">
      <w:start w:val="1"/>
      <w:numFmt w:val="decimal"/>
      <w:lvlText w:val="%1.%2.%3."/>
      <w:lvlJc w:val="left"/>
      <w:pPr>
        <w:tabs>
          <w:tab w:val="num" w:pos="2015"/>
        </w:tabs>
        <w:ind w:left="1439" w:hanging="504"/>
      </w:pPr>
      <w:rPr>
        <w:rFonts w:cs="Times New Roman"/>
        <w:b w:val="0"/>
        <w:color w:val="auto"/>
        <w:sz w:val="24"/>
        <w:szCs w:val="24"/>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29">
    <w:nsid w:val="7D463BAD"/>
    <w:multiLevelType w:val="hybridMultilevel"/>
    <w:tmpl w:val="56241D46"/>
    <w:lvl w:ilvl="0" w:tplc="9124B8D6">
      <w:start w:val="5"/>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nsid w:val="7FCB5F77"/>
    <w:multiLevelType w:val="hybridMultilevel"/>
    <w:tmpl w:val="A356C26A"/>
    <w:lvl w:ilvl="0" w:tplc="9172530E">
      <w:start w:val="2"/>
      <w:numFmt w:val="bullet"/>
      <w:lvlText w:val="-"/>
      <w:lvlJc w:val="left"/>
      <w:pPr>
        <w:tabs>
          <w:tab w:val="num" w:pos="720"/>
        </w:tabs>
        <w:ind w:left="720" w:hanging="360"/>
      </w:pPr>
      <w:rPr>
        <w:rFonts w:ascii="Calibri" w:eastAsia="Times New Roman" w:hAnsi="Calibri" w:hint="default"/>
      </w:rPr>
    </w:lvl>
    <w:lvl w:ilvl="1" w:tplc="D98EB7C6">
      <w:start w:val="1"/>
      <w:numFmt w:val="bullet"/>
      <w:lvlText w:val="o"/>
      <w:lvlJc w:val="left"/>
      <w:pPr>
        <w:tabs>
          <w:tab w:val="num" w:pos="1440"/>
        </w:tabs>
        <w:ind w:left="1440" w:hanging="360"/>
      </w:pPr>
      <w:rPr>
        <w:rFonts w:ascii="Courier New" w:hAnsi="Courier New" w:hint="default"/>
      </w:rPr>
    </w:lvl>
    <w:lvl w:ilvl="2" w:tplc="D25A7546" w:tentative="1">
      <w:start w:val="1"/>
      <w:numFmt w:val="bullet"/>
      <w:lvlText w:val=""/>
      <w:lvlJc w:val="left"/>
      <w:pPr>
        <w:tabs>
          <w:tab w:val="num" w:pos="2160"/>
        </w:tabs>
        <w:ind w:left="2160" w:hanging="360"/>
      </w:pPr>
      <w:rPr>
        <w:rFonts w:ascii="Wingdings" w:hAnsi="Wingdings" w:hint="default"/>
      </w:rPr>
    </w:lvl>
    <w:lvl w:ilvl="3" w:tplc="9E78E6C6" w:tentative="1">
      <w:start w:val="1"/>
      <w:numFmt w:val="bullet"/>
      <w:lvlText w:val=""/>
      <w:lvlJc w:val="left"/>
      <w:pPr>
        <w:tabs>
          <w:tab w:val="num" w:pos="2880"/>
        </w:tabs>
        <w:ind w:left="2880" w:hanging="360"/>
      </w:pPr>
      <w:rPr>
        <w:rFonts w:ascii="Symbol" w:hAnsi="Symbol" w:hint="default"/>
      </w:rPr>
    </w:lvl>
    <w:lvl w:ilvl="4" w:tplc="FCFCD59C" w:tentative="1">
      <w:start w:val="1"/>
      <w:numFmt w:val="bullet"/>
      <w:lvlText w:val="o"/>
      <w:lvlJc w:val="left"/>
      <w:pPr>
        <w:tabs>
          <w:tab w:val="num" w:pos="3600"/>
        </w:tabs>
        <w:ind w:left="3600" w:hanging="360"/>
      </w:pPr>
      <w:rPr>
        <w:rFonts w:ascii="Courier New" w:hAnsi="Courier New" w:hint="default"/>
      </w:rPr>
    </w:lvl>
    <w:lvl w:ilvl="5" w:tplc="76E0EDBA" w:tentative="1">
      <w:start w:val="1"/>
      <w:numFmt w:val="bullet"/>
      <w:lvlText w:val=""/>
      <w:lvlJc w:val="left"/>
      <w:pPr>
        <w:tabs>
          <w:tab w:val="num" w:pos="4320"/>
        </w:tabs>
        <w:ind w:left="4320" w:hanging="360"/>
      </w:pPr>
      <w:rPr>
        <w:rFonts w:ascii="Wingdings" w:hAnsi="Wingdings" w:hint="default"/>
      </w:rPr>
    </w:lvl>
    <w:lvl w:ilvl="6" w:tplc="7CECCDB2" w:tentative="1">
      <w:start w:val="1"/>
      <w:numFmt w:val="bullet"/>
      <w:lvlText w:val=""/>
      <w:lvlJc w:val="left"/>
      <w:pPr>
        <w:tabs>
          <w:tab w:val="num" w:pos="5040"/>
        </w:tabs>
        <w:ind w:left="5040" w:hanging="360"/>
      </w:pPr>
      <w:rPr>
        <w:rFonts w:ascii="Symbol" w:hAnsi="Symbol" w:hint="default"/>
      </w:rPr>
    </w:lvl>
    <w:lvl w:ilvl="7" w:tplc="C62C1284" w:tentative="1">
      <w:start w:val="1"/>
      <w:numFmt w:val="bullet"/>
      <w:lvlText w:val="o"/>
      <w:lvlJc w:val="left"/>
      <w:pPr>
        <w:tabs>
          <w:tab w:val="num" w:pos="5760"/>
        </w:tabs>
        <w:ind w:left="5760" w:hanging="360"/>
      </w:pPr>
      <w:rPr>
        <w:rFonts w:ascii="Courier New" w:hAnsi="Courier New" w:hint="default"/>
      </w:rPr>
    </w:lvl>
    <w:lvl w:ilvl="8" w:tplc="C09EE8DC"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17"/>
    <w:lvlOverride w:ilvl="0">
      <w:lvl w:ilvl="0">
        <w:start w:val="1"/>
        <w:numFmt w:val="decimal"/>
        <w:lvlText w:val="%1."/>
        <w:lvlJc w:val="left"/>
        <w:pPr>
          <w:tabs>
            <w:tab w:val="num" w:pos="360"/>
          </w:tabs>
          <w:ind w:left="360" w:hanging="360"/>
        </w:pPr>
        <w:rPr>
          <w:rFonts w:cs="Times New Roman"/>
        </w:rPr>
      </w:lvl>
    </w:lvlOverride>
    <w:lvlOverride w:ilvl="1">
      <w:lvl w:ilvl="1">
        <w:start w:val="1"/>
        <w:numFmt w:val="decimal"/>
        <w:lvlText w:val="%1.%2."/>
        <w:lvlJc w:val="left"/>
        <w:pPr>
          <w:tabs>
            <w:tab w:val="num" w:pos="1080"/>
          </w:tabs>
          <w:ind w:left="792" w:hanging="432"/>
        </w:pPr>
        <w:rPr>
          <w:rFonts w:cs="Times New Roman"/>
          <w:b/>
        </w:rPr>
      </w:lvl>
    </w:lvlOverride>
    <w:lvlOverride w:ilvl="2">
      <w:lvl w:ilvl="2">
        <w:start w:val="1"/>
        <w:numFmt w:val="decimal"/>
        <w:lvlText w:val="%1.%2.%3."/>
        <w:lvlJc w:val="left"/>
        <w:pPr>
          <w:tabs>
            <w:tab w:val="num" w:pos="1440"/>
          </w:tabs>
          <w:ind w:left="1224" w:hanging="504"/>
        </w:pPr>
        <w:rPr>
          <w:rFonts w:cs="Times New Roman"/>
        </w:rPr>
      </w:lvl>
    </w:lvlOverride>
    <w:lvlOverride w:ilvl="3">
      <w:lvl w:ilvl="3">
        <w:start w:val="1"/>
        <w:numFmt w:val="decimal"/>
        <w:lvlText w:val="%1.%2.%3.%4."/>
        <w:lvlJc w:val="left"/>
        <w:pPr>
          <w:tabs>
            <w:tab w:val="num" w:pos="2160"/>
          </w:tabs>
          <w:ind w:left="1728" w:hanging="648"/>
        </w:pPr>
        <w:rPr>
          <w:rFonts w:cs="Times New Roman"/>
        </w:rPr>
      </w:lvl>
    </w:lvlOverride>
    <w:lvlOverride w:ilvl="4">
      <w:lvl w:ilvl="4">
        <w:start w:val="1"/>
        <w:numFmt w:val="decimal"/>
        <w:lvlText w:val="%1.%2.%3.%4.%5."/>
        <w:lvlJc w:val="left"/>
        <w:pPr>
          <w:tabs>
            <w:tab w:val="num" w:pos="2880"/>
          </w:tabs>
          <w:ind w:left="2232" w:hanging="792"/>
        </w:pPr>
        <w:rPr>
          <w:rFonts w:cs="Times New Roman"/>
        </w:rPr>
      </w:lvl>
    </w:lvlOverride>
    <w:lvlOverride w:ilvl="5">
      <w:lvl w:ilvl="5">
        <w:start w:val="1"/>
        <w:numFmt w:val="decimal"/>
        <w:lvlText w:val="%1.%2.%3.%4.%5.%6."/>
        <w:lvlJc w:val="left"/>
        <w:pPr>
          <w:tabs>
            <w:tab w:val="num" w:pos="3240"/>
          </w:tabs>
          <w:ind w:left="2736" w:hanging="936"/>
        </w:pPr>
        <w:rPr>
          <w:rFonts w:cs="Times New Roman"/>
        </w:rPr>
      </w:lvl>
    </w:lvlOverride>
    <w:lvlOverride w:ilvl="6">
      <w:lvl w:ilvl="6">
        <w:start w:val="1"/>
        <w:numFmt w:val="decimal"/>
        <w:lvlText w:val="%1.%2.%3.%4.%5.%6.%7."/>
        <w:lvlJc w:val="left"/>
        <w:pPr>
          <w:tabs>
            <w:tab w:val="num" w:pos="3960"/>
          </w:tabs>
          <w:ind w:left="3240" w:hanging="1080"/>
        </w:pPr>
        <w:rPr>
          <w:rFonts w:cs="Times New Roman"/>
        </w:rPr>
      </w:lvl>
    </w:lvlOverride>
    <w:lvlOverride w:ilvl="7">
      <w:lvl w:ilvl="7">
        <w:start w:val="1"/>
        <w:numFmt w:val="decimal"/>
        <w:lvlText w:val="%1.%2.%3.%4.%5.%6.%7.%8."/>
        <w:lvlJc w:val="left"/>
        <w:pPr>
          <w:tabs>
            <w:tab w:val="num" w:pos="4680"/>
          </w:tabs>
          <w:ind w:left="3744" w:hanging="1224"/>
        </w:pPr>
        <w:rPr>
          <w:rFonts w:cs="Times New Roman"/>
        </w:rPr>
      </w:lvl>
    </w:lvlOverride>
    <w:lvlOverride w:ilvl="8">
      <w:lvl w:ilvl="8">
        <w:start w:val="1"/>
        <w:numFmt w:val="decimal"/>
        <w:lvlText w:val="%1.%2.%3.%4.%5.%6.%7.%8.%9."/>
        <w:lvlJc w:val="left"/>
        <w:pPr>
          <w:tabs>
            <w:tab w:val="num" w:pos="5040"/>
          </w:tabs>
          <w:ind w:left="4320" w:hanging="1440"/>
        </w:pPr>
        <w:rPr>
          <w:rFonts w:cs="Times New Roman"/>
        </w:rPr>
      </w:lvl>
    </w:lvlOverride>
  </w:num>
  <w:num w:numId="4">
    <w:abstractNumId w:val="8"/>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9"/>
  </w:num>
  <w:num w:numId="8">
    <w:abstractNumId w:val="30"/>
  </w:num>
  <w:num w:numId="9">
    <w:abstractNumId w:val="3"/>
  </w:num>
  <w:num w:numId="10">
    <w:abstractNumId w:val="16"/>
  </w:num>
  <w:num w:numId="11">
    <w:abstractNumId w:val="28"/>
  </w:num>
  <w:num w:numId="12">
    <w:abstractNumId w:val="29"/>
  </w:num>
  <w:num w:numId="13">
    <w:abstractNumId w:val="17"/>
    <w:lvlOverride w:ilvl="0">
      <w:lvl w:ilvl="0">
        <w:numFmt w:val="decimal"/>
        <w:lvlText w:val=""/>
        <w:lvlJc w:val="left"/>
        <w:rPr>
          <w:rFonts w:cs="Times New Roman"/>
        </w:rPr>
      </w:lvl>
    </w:lvlOverride>
    <w:lvlOverride w:ilvl="1">
      <w:lvl w:ilvl="1">
        <w:start w:val="1"/>
        <w:numFmt w:val="decimal"/>
        <w:lvlText w:val="%1.%2."/>
        <w:lvlJc w:val="left"/>
        <w:pPr>
          <w:tabs>
            <w:tab w:val="num" w:pos="1146"/>
          </w:tabs>
          <w:ind w:left="858" w:hanging="432"/>
        </w:pPr>
        <w:rPr>
          <w:rFonts w:cs="Times New Roman"/>
        </w:rPr>
      </w:lvl>
    </w:lvlOverride>
    <w:lvlOverride w:ilvl="2">
      <w:lvl w:ilvl="2">
        <w:start w:val="1"/>
        <w:numFmt w:val="decimal"/>
        <w:lvlText w:val="%1.%2.%3."/>
        <w:lvlJc w:val="left"/>
        <w:pPr>
          <w:tabs>
            <w:tab w:val="num" w:pos="1288"/>
          </w:tabs>
          <w:ind w:left="1072" w:hanging="504"/>
        </w:pPr>
        <w:rPr>
          <w:rFonts w:ascii="Cambria Math" w:hAnsi="Cambria Math" w:cs="Times New Roman" w:hint="default"/>
          <w:b w:val="0"/>
          <w:i w:val="0"/>
          <w:sz w:val="24"/>
          <w:szCs w:val="24"/>
        </w:rPr>
      </w:lvl>
    </w:lvlOverride>
    <w:lvlOverride w:ilvl="3">
      <w:lvl w:ilvl="3">
        <w:start w:val="1"/>
        <w:numFmt w:val="decimal"/>
        <w:lvlText w:val="%1.%2.%3.%4."/>
        <w:lvlJc w:val="left"/>
        <w:pPr>
          <w:tabs>
            <w:tab w:val="num" w:pos="2160"/>
          </w:tabs>
          <w:ind w:left="1728" w:hanging="648"/>
        </w:pPr>
        <w:rPr>
          <w:rFonts w:cs="Times New Roman"/>
          <w:b w:val="0"/>
        </w:rPr>
      </w:lvl>
    </w:lvlOverride>
  </w:num>
  <w:num w:numId="14">
    <w:abstractNumId w:val="20"/>
  </w:num>
  <w:num w:numId="15">
    <w:abstractNumId w:val="4"/>
  </w:num>
  <w:num w:numId="16">
    <w:abstractNumId w:val="27"/>
  </w:num>
  <w:num w:numId="17">
    <w:abstractNumId w:val="26"/>
  </w:num>
  <w:num w:numId="18">
    <w:abstractNumId w:val="7"/>
  </w:num>
  <w:num w:numId="19">
    <w:abstractNumId w:val="23"/>
  </w:num>
  <w:num w:numId="20">
    <w:abstractNumId w:val="21"/>
  </w:num>
  <w:num w:numId="21">
    <w:abstractNumId w:val="2"/>
  </w:num>
  <w:num w:numId="22">
    <w:abstractNumId w:val="12"/>
  </w:num>
  <w:num w:numId="23">
    <w:abstractNumId w:val="15"/>
  </w:num>
  <w:num w:numId="24">
    <w:abstractNumId w:val="11"/>
  </w:num>
  <w:num w:numId="25">
    <w:abstractNumId w:val="9"/>
  </w:num>
  <w:num w:numId="26">
    <w:abstractNumId w:val="25"/>
  </w:num>
  <w:num w:numId="27">
    <w:abstractNumId w:val="22"/>
  </w:num>
  <w:num w:numId="28">
    <w:abstractNumId w:val="10"/>
  </w:num>
  <w:num w:numId="29">
    <w:abstractNumId w:val="18"/>
  </w:num>
  <w:num w:numId="30">
    <w:abstractNumId w:val="13"/>
  </w:num>
  <w:num w:numId="31">
    <w:abstractNumId w:val="24"/>
  </w:num>
  <w:num w:numId="32">
    <w:abstractNumId w:val="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4B85"/>
    <w:rsid w:val="00000AEB"/>
    <w:rsid w:val="00000B01"/>
    <w:rsid w:val="00001530"/>
    <w:rsid w:val="000016B5"/>
    <w:rsid w:val="00001915"/>
    <w:rsid w:val="000019EA"/>
    <w:rsid w:val="00001B7B"/>
    <w:rsid w:val="00002179"/>
    <w:rsid w:val="00002B61"/>
    <w:rsid w:val="000034AA"/>
    <w:rsid w:val="000036E8"/>
    <w:rsid w:val="00003CFE"/>
    <w:rsid w:val="00004C1E"/>
    <w:rsid w:val="00004D9E"/>
    <w:rsid w:val="00004DDC"/>
    <w:rsid w:val="00004E03"/>
    <w:rsid w:val="00005145"/>
    <w:rsid w:val="000054BF"/>
    <w:rsid w:val="00005A53"/>
    <w:rsid w:val="00006931"/>
    <w:rsid w:val="000075F9"/>
    <w:rsid w:val="000077B5"/>
    <w:rsid w:val="0000782B"/>
    <w:rsid w:val="00007992"/>
    <w:rsid w:val="00007CE3"/>
    <w:rsid w:val="00010331"/>
    <w:rsid w:val="000104E6"/>
    <w:rsid w:val="00010DD9"/>
    <w:rsid w:val="00010E0C"/>
    <w:rsid w:val="00010E38"/>
    <w:rsid w:val="000111DA"/>
    <w:rsid w:val="00011400"/>
    <w:rsid w:val="00011B4B"/>
    <w:rsid w:val="000126C4"/>
    <w:rsid w:val="00012CA9"/>
    <w:rsid w:val="00012DAB"/>
    <w:rsid w:val="00012E17"/>
    <w:rsid w:val="000136D8"/>
    <w:rsid w:val="00013C20"/>
    <w:rsid w:val="00013E4B"/>
    <w:rsid w:val="00014B3C"/>
    <w:rsid w:val="00014EE4"/>
    <w:rsid w:val="00014F68"/>
    <w:rsid w:val="000155A4"/>
    <w:rsid w:val="00015F2D"/>
    <w:rsid w:val="000160C7"/>
    <w:rsid w:val="0001649C"/>
    <w:rsid w:val="0001684B"/>
    <w:rsid w:val="000174CC"/>
    <w:rsid w:val="00017B1D"/>
    <w:rsid w:val="0002029E"/>
    <w:rsid w:val="00020775"/>
    <w:rsid w:val="00020A4C"/>
    <w:rsid w:val="0002127F"/>
    <w:rsid w:val="00021464"/>
    <w:rsid w:val="00021C2A"/>
    <w:rsid w:val="0002210C"/>
    <w:rsid w:val="000223E8"/>
    <w:rsid w:val="00022565"/>
    <w:rsid w:val="0002264E"/>
    <w:rsid w:val="00023122"/>
    <w:rsid w:val="00023634"/>
    <w:rsid w:val="000239BF"/>
    <w:rsid w:val="00023A79"/>
    <w:rsid w:val="00023DF3"/>
    <w:rsid w:val="00023F6C"/>
    <w:rsid w:val="00024428"/>
    <w:rsid w:val="00024AAC"/>
    <w:rsid w:val="0002530C"/>
    <w:rsid w:val="00025563"/>
    <w:rsid w:val="00025660"/>
    <w:rsid w:val="00025C64"/>
    <w:rsid w:val="00025E50"/>
    <w:rsid w:val="00026062"/>
    <w:rsid w:val="000261B9"/>
    <w:rsid w:val="00026644"/>
    <w:rsid w:val="00026CFE"/>
    <w:rsid w:val="00026D99"/>
    <w:rsid w:val="000277A1"/>
    <w:rsid w:val="00030E75"/>
    <w:rsid w:val="000313FB"/>
    <w:rsid w:val="00031845"/>
    <w:rsid w:val="0003188B"/>
    <w:rsid w:val="00031C40"/>
    <w:rsid w:val="00031D57"/>
    <w:rsid w:val="00032338"/>
    <w:rsid w:val="00032A17"/>
    <w:rsid w:val="00032DDC"/>
    <w:rsid w:val="00032E4D"/>
    <w:rsid w:val="00033056"/>
    <w:rsid w:val="0003319B"/>
    <w:rsid w:val="00033C9E"/>
    <w:rsid w:val="00033E73"/>
    <w:rsid w:val="000347BE"/>
    <w:rsid w:val="0003491F"/>
    <w:rsid w:val="00034E62"/>
    <w:rsid w:val="00034FE5"/>
    <w:rsid w:val="000368CB"/>
    <w:rsid w:val="00036CC3"/>
    <w:rsid w:val="00036F5F"/>
    <w:rsid w:val="00037273"/>
    <w:rsid w:val="00037C3D"/>
    <w:rsid w:val="00037F8A"/>
    <w:rsid w:val="00040417"/>
    <w:rsid w:val="00040FB5"/>
    <w:rsid w:val="000411E4"/>
    <w:rsid w:val="00041FA2"/>
    <w:rsid w:val="0004233A"/>
    <w:rsid w:val="000423FD"/>
    <w:rsid w:val="00042495"/>
    <w:rsid w:val="000428B2"/>
    <w:rsid w:val="0004378D"/>
    <w:rsid w:val="00043A95"/>
    <w:rsid w:val="00043B72"/>
    <w:rsid w:val="0004462F"/>
    <w:rsid w:val="00044A7D"/>
    <w:rsid w:val="00047276"/>
    <w:rsid w:val="0004727D"/>
    <w:rsid w:val="00047346"/>
    <w:rsid w:val="00047371"/>
    <w:rsid w:val="000502F6"/>
    <w:rsid w:val="000506BB"/>
    <w:rsid w:val="000506E9"/>
    <w:rsid w:val="000508D0"/>
    <w:rsid w:val="000514BC"/>
    <w:rsid w:val="00051A74"/>
    <w:rsid w:val="00051AF9"/>
    <w:rsid w:val="0005206E"/>
    <w:rsid w:val="00052298"/>
    <w:rsid w:val="000526A0"/>
    <w:rsid w:val="00052C2F"/>
    <w:rsid w:val="000539C2"/>
    <w:rsid w:val="00053C64"/>
    <w:rsid w:val="00054022"/>
    <w:rsid w:val="000545A9"/>
    <w:rsid w:val="000548B8"/>
    <w:rsid w:val="000557E9"/>
    <w:rsid w:val="000559F6"/>
    <w:rsid w:val="00055FEF"/>
    <w:rsid w:val="00056C80"/>
    <w:rsid w:val="000570E7"/>
    <w:rsid w:val="00057375"/>
    <w:rsid w:val="000577E0"/>
    <w:rsid w:val="0006003A"/>
    <w:rsid w:val="000605BF"/>
    <w:rsid w:val="000609AA"/>
    <w:rsid w:val="00060FB7"/>
    <w:rsid w:val="0006114B"/>
    <w:rsid w:val="000612C2"/>
    <w:rsid w:val="000617E2"/>
    <w:rsid w:val="00061A2E"/>
    <w:rsid w:val="00061D9A"/>
    <w:rsid w:val="00061DD6"/>
    <w:rsid w:val="0006254D"/>
    <w:rsid w:val="0006271C"/>
    <w:rsid w:val="00062D63"/>
    <w:rsid w:val="00063545"/>
    <w:rsid w:val="00063BF7"/>
    <w:rsid w:val="0006429F"/>
    <w:rsid w:val="00064888"/>
    <w:rsid w:val="000648C4"/>
    <w:rsid w:val="00064AAC"/>
    <w:rsid w:val="00064C04"/>
    <w:rsid w:val="00065527"/>
    <w:rsid w:val="000665DE"/>
    <w:rsid w:val="000667E8"/>
    <w:rsid w:val="00067361"/>
    <w:rsid w:val="0006738B"/>
    <w:rsid w:val="00067549"/>
    <w:rsid w:val="000677E2"/>
    <w:rsid w:val="00071549"/>
    <w:rsid w:val="000718A6"/>
    <w:rsid w:val="00072293"/>
    <w:rsid w:val="000724C1"/>
    <w:rsid w:val="000726DF"/>
    <w:rsid w:val="00072805"/>
    <w:rsid w:val="00072BEE"/>
    <w:rsid w:val="0007339A"/>
    <w:rsid w:val="00073806"/>
    <w:rsid w:val="00073F6E"/>
    <w:rsid w:val="00074787"/>
    <w:rsid w:val="00074A6D"/>
    <w:rsid w:val="00074EB2"/>
    <w:rsid w:val="00075424"/>
    <w:rsid w:val="00075C74"/>
    <w:rsid w:val="00075EFF"/>
    <w:rsid w:val="000772C2"/>
    <w:rsid w:val="000772E1"/>
    <w:rsid w:val="0007773C"/>
    <w:rsid w:val="00077AC5"/>
    <w:rsid w:val="000811C4"/>
    <w:rsid w:val="0008146C"/>
    <w:rsid w:val="00081CF4"/>
    <w:rsid w:val="000822A9"/>
    <w:rsid w:val="000827CD"/>
    <w:rsid w:val="00082C1B"/>
    <w:rsid w:val="00082FD5"/>
    <w:rsid w:val="00083829"/>
    <w:rsid w:val="000838F0"/>
    <w:rsid w:val="00083DA1"/>
    <w:rsid w:val="00083DCE"/>
    <w:rsid w:val="00084107"/>
    <w:rsid w:val="00084147"/>
    <w:rsid w:val="00084429"/>
    <w:rsid w:val="000849D9"/>
    <w:rsid w:val="00084A36"/>
    <w:rsid w:val="00084C2C"/>
    <w:rsid w:val="00085F84"/>
    <w:rsid w:val="00086AE8"/>
    <w:rsid w:val="00086CFA"/>
    <w:rsid w:val="0008792E"/>
    <w:rsid w:val="00087B56"/>
    <w:rsid w:val="00087BA6"/>
    <w:rsid w:val="00087F3C"/>
    <w:rsid w:val="00090684"/>
    <w:rsid w:val="00090797"/>
    <w:rsid w:val="00091035"/>
    <w:rsid w:val="00091254"/>
    <w:rsid w:val="00091997"/>
    <w:rsid w:val="000920B7"/>
    <w:rsid w:val="000920E6"/>
    <w:rsid w:val="00092506"/>
    <w:rsid w:val="0009253F"/>
    <w:rsid w:val="00092913"/>
    <w:rsid w:val="000935A4"/>
    <w:rsid w:val="0009414D"/>
    <w:rsid w:val="000942CD"/>
    <w:rsid w:val="00094403"/>
    <w:rsid w:val="000944CC"/>
    <w:rsid w:val="00094A1B"/>
    <w:rsid w:val="00094A5D"/>
    <w:rsid w:val="00094B54"/>
    <w:rsid w:val="00095382"/>
    <w:rsid w:val="0009543E"/>
    <w:rsid w:val="000958AD"/>
    <w:rsid w:val="000958EA"/>
    <w:rsid w:val="000964A0"/>
    <w:rsid w:val="00096A7A"/>
    <w:rsid w:val="00096F6D"/>
    <w:rsid w:val="00097E4A"/>
    <w:rsid w:val="00097F46"/>
    <w:rsid w:val="000A013D"/>
    <w:rsid w:val="000A065E"/>
    <w:rsid w:val="000A0E47"/>
    <w:rsid w:val="000A1117"/>
    <w:rsid w:val="000A1170"/>
    <w:rsid w:val="000A1256"/>
    <w:rsid w:val="000A1902"/>
    <w:rsid w:val="000A3526"/>
    <w:rsid w:val="000A405B"/>
    <w:rsid w:val="000A462D"/>
    <w:rsid w:val="000A4D1B"/>
    <w:rsid w:val="000A4F3F"/>
    <w:rsid w:val="000A6729"/>
    <w:rsid w:val="000A6793"/>
    <w:rsid w:val="000A6A2B"/>
    <w:rsid w:val="000A6AB7"/>
    <w:rsid w:val="000A6AFD"/>
    <w:rsid w:val="000A6DE0"/>
    <w:rsid w:val="000A7C35"/>
    <w:rsid w:val="000B0C4C"/>
    <w:rsid w:val="000B0F50"/>
    <w:rsid w:val="000B145C"/>
    <w:rsid w:val="000B1725"/>
    <w:rsid w:val="000B1A46"/>
    <w:rsid w:val="000B1F98"/>
    <w:rsid w:val="000B2021"/>
    <w:rsid w:val="000B21F9"/>
    <w:rsid w:val="000B2237"/>
    <w:rsid w:val="000B2487"/>
    <w:rsid w:val="000B28B2"/>
    <w:rsid w:val="000B2F11"/>
    <w:rsid w:val="000B2F87"/>
    <w:rsid w:val="000B381F"/>
    <w:rsid w:val="000B39FD"/>
    <w:rsid w:val="000B433F"/>
    <w:rsid w:val="000B481A"/>
    <w:rsid w:val="000B4D44"/>
    <w:rsid w:val="000B4DC4"/>
    <w:rsid w:val="000B5449"/>
    <w:rsid w:val="000B5821"/>
    <w:rsid w:val="000B5917"/>
    <w:rsid w:val="000B5B39"/>
    <w:rsid w:val="000B624B"/>
    <w:rsid w:val="000B6584"/>
    <w:rsid w:val="000B6B91"/>
    <w:rsid w:val="000B7007"/>
    <w:rsid w:val="000B731C"/>
    <w:rsid w:val="000B746A"/>
    <w:rsid w:val="000B774C"/>
    <w:rsid w:val="000B7F5C"/>
    <w:rsid w:val="000C0A83"/>
    <w:rsid w:val="000C0F35"/>
    <w:rsid w:val="000C1C75"/>
    <w:rsid w:val="000C1EA5"/>
    <w:rsid w:val="000C210A"/>
    <w:rsid w:val="000C21BB"/>
    <w:rsid w:val="000C252D"/>
    <w:rsid w:val="000C2AA5"/>
    <w:rsid w:val="000C2B5F"/>
    <w:rsid w:val="000C31FE"/>
    <w:rsid w:val="000C32C5"/>
    <w:rsid w:val="000C3C1E"/>
    <w:rsid w:val="000C4945"/>
    <w:rsid w:val="000C4AA9"/>
    <w:rsid w:val="000C516D"/>
    <w:rsid w:val="000C51BD"/>
    <w:rsid w:val="000C5B32"/>
    <w:rsid w:val="000C670F"/>
    <w:rsid w:val="000C6B3F"/>
    <w:rsid w:val="000C7290"/>
    <w:rsid w:val="000C75DD"/>
    <w:rsid w:val="000C7D6B"/>
    <w:rsid w:val="000D0AC4"/>
    <w:rsid w:val="000D0AD2"/>
    <w:rsid w:val="000D140E"/>
    <w:rsid w:val="000D18E2"/>
    <w:rsid w:val="000D1A5C"/>
    <w:rsid w:val="000D1ADC"/>
    <w:rsid w:val="000D26A8"/>
    <w:rsid w:val="000D2783"/>
    <w:rsid w:val="000D2E3A"/>
    <w:rsid w:val="000D38B8"/>
    <w:rsid w:val="000D3CD0"/>
    <w:rsid w:val="000D40FA"/>
    <w:rsid w:val="000D44AB"/>
    <w:rsid w:val="000D4CB6"/>
    <w:rsid w:val="000D5517"/>
    <w:rsid w:val="000D612E"/>
    <w:rsid w:val="000D66D5"/>
    <w:rsid w:val="000D69E2"/>
    <w:rsid w:val="000D6A64"/>
    <w:rsid w:val="000D6C66"/>
    <w:rsid w:val="000D7099"/>
    <w:rsid w:val="000D7176"/>
    <w:rsid w:val="000D770B"/>
    <w:rsid w:val="000D7AB2"/>
    <w:rsid w:val="000D7BA9"/>
    <w:rsid w:val="000D7D3D"/>
    <w:rsid w:val="000D7EAF"/>
    <w:rsid w:val="000D7FAC"/>
    <w:rsid w:val="000E06C0"/>
    <w:rsid w:val="000E09ED"/>
    <w:rsid w:val="000E12D4"/>
    <w:rsid w:val="000E19DE"/>
    <w:rsid w:val="000E1A33"/>
    <w:rsid w:val="000E30D8"/>
    <w:rsid w:val="000E344B"/>
    <w:rsid w:val="000E3830"/>
    <w:rsid w:val="000E3AAC"/>
    <w:rsid w:val="000E3C51"/>
    <w:rsid w:val="000E3ED4"/>
    <w:rsid w:val="000E5785"/>
    <w:rsid w:val="000E59C4"/>
    <w:rsid w:val="000E5C2E"/>
    <w:rsid w:val="000E616D"/>
    <w:rsid w:val="000E6F09"/>
    <w:rsid w:val="000E705D"/>
    <w:rsid w:val="000E7F0B"/>
    <w:rsid w:val="000F06D4"/>
    <w:rsid w:val="000F08F3"/>
    <w:rsid w:val="000F0AC5"/>
    <w:rsid w:val="000F0C2F"/>
    <w:rsid w:val="000F0F78"/>
    <w:rsid w:val="000F1003"/>
    <w:rsid w:val="000F14F3"/>
    <w:rsid w:val="000F1629"/>
    <w:rsid w:val="000F18B3"/>
    <w:rsid w:val="000F1AB2"/>
    <w:rsid w:val="000F1F92"/>
    <w:rsid w:val="000F2112"/>
    <w:rsid w:val="000F23F9"/>
    <w:rsid w:val="000F2595"/>
    <w:rsid w:val="000F2994"/>
    <w:rsid w:val="000F2B81"/>
    <w:rsid w:val="000F2F62"/>
    <w:rsid w:val="000F336D"/>
    <w:rsid w:val="000F3397"/>
    <w:rsid w:val="000F389C"/>
    <w:rsid w:val="000F4038"/>
    <w:rsid w:val="000F4087"/>
    <w:rsid w:val="000F4574"/>
    <w:rsid w:val="000F4720"/>
    <w:rsid w:val="000F4A47"/>
    <w:rsid w:val="000F4B3C"/>
    <w:rsid w:val="000F59F4"/>
    <w:rsid w:val="000F5C57"/>
    <w:rsid w:val="000F62DE"/>
    <w:rsid w:val="000F6BA3"/>
    <w:rsid w:val="000F6C94"/>
    <w:rsid w:val="000F6F64"/>
    <w:rsid w:val="000F7D42"/>
    <w:rsid w:val="000F7D74"/>
    <w:rsid w:val="00100705"/>
    <w:rsid w:val="0010105E"/>
    <w:rsid w:val="001015DF"/>
    <w:rsid w:val="00101604"/>
    <w:rsid w:val="00101CE1"/>
    <w:rsid w:val="00101D78"/>
    <w:rsid w:val="0010342E"/>
    <w:rsid w:val="00103456"/>
    <w:rsid w:val="00104138"/>
    <w:rsid w:val="00104471"/>
    <w:rsid w:val="00104CDD"/>
    <w:rsid w:val="00105996"/>
    <w:rsid w:val="00105BB3"/>
    <w:rsid w:val="00106A93"/>
    <w:rsid w:val="00106CD9"/>
    <w:rsid w:val="0010702E"/>
    <w:rsid w:val="0010720A"/>
    <w:rsid w:val="00107BFE"/>
    <w:rsid w:val="00110082"/>
    <w:rsid w:val="00111B68"/>
    <w:rsid w:val="00111B79"/>
    <w:rsid w:val="00112D43"/>
    <w:rsid w:val="00113214"/>
    <w:rsid w:val="0011406D"/>
    <w:rsid w:val="00114235"/>
    <w:rsid w:val="001149FC"/>
    <w:rsid w:val="00114C4E"/>
    <w:rsid w:val="001151BE"/>
    <w:rsid w:val="00115284"/>
    <w:rsid w:val="00115418"/>
    <w:rsid w:val="00115610"/>
    <w:rsid w:val="00115EC2"/>
    <w:rsid w:val="00116926"/>
    <w:rsid w:val="00116BB8"/>
    <w:rsid w:val="00117263"/>
    <w:rsid w:val="001172C5"/>
    <w:rsid w:val="001173B1"/>
    <w:rsid w:val="0011772D"/>
    <w:rsid w:val="00120711"/>
    <w:rsid w:val="001215FB"/>
    <w:rsid w:val="00121E0B"/>
    <w:rsid w:val="001223C8"/>
    <w:rsid w:val="001224A7"/>
    <w:rsid w:val="00122A60"/>
    <w:rsid w:val="00122C5B"/>
    <w:rsid w:val="00122DE7"/>
    <w:rsid w:val="00122EC6"/>
    <w:rsid w:val="001232F5"/>
    <w:rsid w:val="00123AA9"/>
    <w:rsid w:val="00123D3B"/>
    <w:rsid w:val="00123DD9"/>
    <w:rsid w:val="00123E1C"/>
    <w:rsid w:val="00124082"/>
    <w:rsid w:val="001244DC"/>
    <w:rsid w:val="0012481F"/>
    <w:rsid w:val="001250C6"/>
    <w:rsid w:val="0012588A"/>
    <w:rsid w:val="00125FDE"/>
    <w:rsid w:val="00126AC1"/>
    <w:rsid w:val="00126D31"/>
    <w:rsid w:val="00127532"/>
    <w:rsid w:val="00127637"/>
    <w:rsid w:val="00127D7B"/>
    <w:rsid w:val="001302D6"/>
    <w:rsid w:val="0013131C"/>
    <w:rsid w:val="00131534"/>
    <w:rsid w:val="00131910"/>
    <w:rsid w:val="00131D39"/>
    <w:rsid w:val="00131D8F"/>
    <w:rsid w:val="00132811"/>
    <w:rsid w:val="00132950"/>
    <w:rsid w:val="00132C6D"/>
    <w:rsid w:val="00132DD6"/>
    <w:rsid w:val="00133725"/>
    <w:rsid w:val="00133A9F"/>
    <w:rsid w:val="00133CCF"/>
    <w:rsid w:val="001343A4"/>
    <w:rsid w:val="0013470E"/>
    <w:rsid w:val="00134732"/>
    <w:rsid w:val="00134BAD"/>
    <w:rsid w:val="00135265"/>
    <w:rsid w:val="001355AE"/>
    <w:rsid w:val="0013599E"/>
    <w:rsid w:val="00135DDB"/>
    <w:rsid w:val="00135EA8"/>
    <w:rsid w:val="00136714"/>
    <w:rsid w:val="00136DE3"/>
    <w:rsid w:val="00137175"/>
    <w:rsid w:val="00140715"/>
    <w:rsid w:val="00140860"/>
    <w:rsid w:val="001413A9"/>
    <w:rsid w:val="001419A6"/>
    <w:rsid w:val="00141ED5"/>
    <w:rsid w:val="00142234"/>
    <w:rsid w:val="0014255B"/>
    <w:rsid w:val="00142C13"/>
    <w:rsid w:val="00142EBB"/>
    <w:rsid w:val="0014313B"/>
    <w:rsid w:val="00143185"/>
    <w:rsid w:val="00143259"/>
    <w:rsid w:val="00143446"/>
    <w:rsid w:val="001436A1"/>
    <w:rsid w:val="00143E44"/>
    <w:rsid w:val="00143E4F"/>
    <w:rsid w:val="00143E58"/>
    <w:rsid w:val="00143EE4"/>
    <w:rsid w:val="0014437B"/>
    <w:rsid w:val="001443CC"/>
    <w:rsid w:val="001444D6"/>
    <w:rsid w:val="0014453C"/>
    <w:rsid w:val="001449E4"/>
    <w:rsid w:val="00144BA1"/>
    <w:rsid w:val="00145AAC"/>
    <w:rsid w:val="00145C18"/>
    <w:rsid w:val="00145E70"/>
    <w:rsid w:val="00146186"/>
    <w:rsid w:val="0014662F"/>
    <w:rsid w:val="00146680"/>
    <w:rsid w:val="00146960"/>
    <w:rsid w:val="00146FA7"/>
    <w:rsid w:val="001477D8"/>
    <w:rsid w:val="00147B36"/>
    <w:rsid w:val="0015107B"/>
    <w:rsid w:val="001510B8"/>
    <w:rsid w:val="001519F6"/>
    <w:rsid w:val="00152328"/>
    <w:rsid w:val="00152AE6"/>
    <w:rsid w:val="00152FC7"/>
    <w:rsid w:val="00152FDF"/>
    <w:rsid w:val="001530AD"/>
    <w:rsid w:val="00153AE2"/>
    <w:rsid w:val="00153B0C"/>
    <w:rsid w:val="001545DC"/>
    <w:rsid w:val="00154CE7"/>
    <w:rsid w:val="00154DB6"/>
    <w:rsid w:val="0015558A"/>
    <w:rsid w:val="0015575E"/>
    <w:rsid w:val="00156208"/>
    <w:rsid w:val="00156DB2"/>
    <w:rsid w:val="0015746B"/>
    <w:rsid w:val="00157473"/>
    <w:rsid w:val="00160923"/>
    <w:rsid w:val="0016110A"/>
    <w:rsid w:val="00161306"/>
    <w:rsid w:val="0016130F"/>
    <w:rsid w:val="001614FE"/>
    <w:rsid w:val="001615F4"/>
    <w:rsid w:val="0016267C"/>
    <w:rsid w:val="00162697"/>
    <w:rsid w:val="0016303E"/>
    <w:rsid w:val="0016314A"/>
    <w:rsid w:val="001639ED"/>
    <w:rsid w:val="00165557"/>
    <w:rsid w:val="00165DE7"/>
    <w:rsid w:val="00166E0D"/>
    <w:rsid w:val="00167508"/>
    <w:rsid w:val="001678D2"/>
    <w:rsid w:val="00167E42"/>
    <w:rsid w:val="0017019E"/>
    <w:rsid w:val="001702A4"/>
    <w:rsid w:val="00170973"/>
    <w:rsid w:val="001714DC"/>
    <w:rsid w:val="001715E8"/>
    <w:rsid w:val="001717EB"/>
    <w:rsid w:val="00171C64"/>
    <w:rsid w:val="00171DBF"/>
    <w:rsid w:val="00171E1E"/>
    <w:rsid w:val="0017266E"/>
    <w:rsid w:val="00173431"/>
    <w:rsid w:val="00173496"/>
    <w:rsid w:val="00174085"/>
    <w:rsid w:val="001742EC"/>
    <w:rsid w:val="00174326"/>
    <w:rsid w:val="00174482"/>
    <w:rsid w:val="00174A48"/>
    <w:rsid w:val="00175011"/>
    <w:rsid w:val="00175224"/>
    <w:rsid w:val="001753ED"/>
    <w:rsid w:val="00176DDC"/>
    <w:rsid w:val="001770AB"/>
    <w:rsid w:val="00177514"/>
    <w:rsid w:val="00177611"/>
    <w:rsid w:val="00177614"/>
    <w:rsid w:val="0017776C"/>
    <w:rsid w:val="00177D0E"/>
    <w:rsid w:val="001803E5"/>
    <w:rsid w:val="0018063C"/>
    <w:rsid w:val="001808ED"/>
    <w:rsid w:val="001809EA"/>
    <w:rsid w:val="00180D1D"/>
    <w:rsid w:val="0018103E"/>
    <w:rsid w:val="00181989"/>
    <w:rsid w:val="00181D00"/>
    <w:rsid w:val="0018257B"/>
    <w:rsid w:val="00183349"/>
    <w:rsid w:val="00183AB5"/>
    <w:rsid w:val="00185B62"/>
    <w:rsid w:val="00185C1B"/>
    <w:rsid w:val="0018613F"/>
    <w:rsid w:val="00186236"/>
    <w:rsid w:val="00186D72"/>
    <w:rsid w:val="001870C9"/>
    <w:rsid w:val="001874BD"/>
    <w:rsid w:val="00187886"/>
    <w:rsid w:val="00187A49"/>
    <w:rsid w:val="00190409"/>
    <w:rsid w:val="001909ED"/>
    <w:rsid w:val="001910DA"/>
    <w:rsid w:val="001914F8"/>
    <w:rsid w:val="001918DA"/>
    <w:rsid w:val="0019190E"/>
    <w:rsid w:val="00191F0C"/>
    <w:rsid w:val="00192A9B"/>
    <w:rsid w:val="00192B7B"/>
    <w:rsid w:val="00194538"/>
    <w:rsid w:val="00194FE9"/>
    <w:rsid w:val="00195042"/>
    <w:rsid w:val="001952A4"/>
    <w:rsid w:val="0019541C"/>
    <w:rsid w:val="001955E2"/>
    <w:rsid w:val="001960A0"/>
    <w:rsid w:val="001963CA"/>
    <w:rsid w:val="00196894"/>
    <w:rsid w:val="00196D16"/>
    <w:rsid w:val="00196EE9"/>
    <w:rsid w:val="00197029"/>
    <w:rsid w:val="001971A8"/>
    <w:rsid w:val="001972B1"/>
    <w:rsid w:val="001A04F0"/>
    <w:rsid w:val="001A0EBE"/>
    <w:rsid w:val="001A1724"/>
    <w:rsid w:val="001A18D6"/>
    <w:rsid w:val="001A1A19"/>
    <w:rsid w:val="001A20B1"/>
    <w:rsid w:val="001A24E5"/>
    <w:rsid w:val="001A2BF1"/>
    <w:rsid w:val="001A2F10"/>
    <w:rsid w:val="001A2F1B"/>
    <w:rsid w:val="001A328D"/>
    <w:rsid w:val="001A3A3D"/>
    <w:rsid w:val="001A3D01"/>
    <w:rsid w:val="001A414E"/>
    <w:rsid w:val="001A5254"/>
    <w:rsid w:val="001A5530"/>
    <w:rsid w:val="001A5F85"/>
    <w:rsid w:val="001A6680"/>
    <w:rsid w:val="001A67CE"/>
    <w:rsid w:val="001A6EC8"/>
    <w:rsid w:val="001A7687"/>
    <w:rsid w:val="001A7690"/>
    <w:rsid w:val="001A7A96"/>
    <w:rsid w:val="001A7DED"/>
    <w:rsid w:val="001B011E"/>
    <w:rsid w:val="001B073E"/>
    <w:rsid w:val="001B0B2F"/>
    <w:rsid w:val="001B13CB"/>
    <w:rsid w:val="001B153C"/>
    <w:rsid w:val="001B1B3F"/>
    <w:rsid w:val="001B1C35"/>
    <w:rsid w:val="001B1E09"/>
    <w:rsid w:val="001B2C47"/>
    <w:rsid w:val="001B3442"/>
    <w:rsid w:val="001B355F"/>
    <w:rsid w:val="001B36D3"/>
    <w:rsid w:val="001B418E"/>
    <w:rsid w:val="001B4439"/>
    <w:rsid w:val="001B49E9"/>
    <w:rsid w:val="001B5ADC"/>
    <w:rsid w:val="001B695C"/>
    <w:rsid w:val="001B6C71"/>
    <w:rsid w:val="001B70AD"/>
    <w:rsid w:val="001B7E2B"/>
    <w:rsid w:val="001C01B9"/>
    <w:rsid w:val="001C0C25"/>
    <w:rsid w:val="001C13E6"/>
    <w:rsid w:val="001C1CBA"/>
    <w:rsid w:val="001C1CC6"/>
    <w:rsid w:val="001C2220"/>
    <w:rsid w:val="001C2413"/>
    <w:rsid w:val="001C2420"/>
    <w:rsid w:val="001C2A57"/>
    <w:rsid w:val="001C2A58"/>
    <w:rsid w:val="001C2F20"/>
    <w:rsid w:val="001C348E"/>
    <w:rsid w:val="001C35D9"/>
    <w:rsid w:val="001C4429"/>
    <w:rsid w:val="001C5343"/>
    <w:rsid w:val="001C6070"/>
    <w:rsid w:val="001C60E5"/>
    <w:rsid w:val="001C6EFD"/>
    <w:rsid w:val="001C70AB"/>
    <w:rsid w:val="001C78BA"/>
    <w:rsid w:val="001C7E58"/>
    <w:rsid w:val="001C7F2E"/>
    <w:rsid w:val="001D05CC"/>
    <w:rsid w:val="001D1586"/>
    <w:rsid w:val="001D2367"/>
    <w:rsid w:val="001D3171"/>
    <w:rsid w:val="001D4665"/>
    <w:rsid w:val="001D4827"/>
    <w:rsid w:val="001D489C"/>
    <w:rsid w:val="001D5313"/>
    <w:rsid w:val="001D5A52"/>
    <w:rsid w:val="001D5BA5"/>
    <w:rsid w:val="001D671D"/>
    <w:rsid w:val="001D6A05"/>
    <w:rsid w:val="001D7A92"/>
    <w:rsid w:val="001E051E"/>
    <w:rsid w:val="001E0908"/>
    <w:rsid w:val="001E12F0"/>
    <w:rsid w:val="001E1A70"/>
    <w:rsid w:val="001E219B"/>
    <w:rsid w:val="001E21A4"/>
    <w:rsid w:val="001E241E"/>
    <w:rsid w:val="001E264E"/>
    <w:rsid w:val="001E2960"/>
    <w:rsid w:val="001E2CC4"/>
    <w:rsid w:val="001E4089"/>
    <w:rsid w:val="001E46BC"/>
    <w:rsid w:val="001E5547"/>
    <w:rsid w:val="001E61DF"/>
    <w:rsid w:val="001E68DC"/>
    <w:rsid w:val="001E7376"/>
    <w:rsid w:val="001E7890"/>
    <w:rsid w:val="001E7C2C"/>
    <w:rsid w:val="001F06FD"/>
    <w:rsid w:val="001F07AE"/>
    <w:rsid w:val="001F176F"/>
    <w:rsid w:val="001F1DBD"/>
    <w:rsid w:val="001F2294"/>
    <w:rsid w:val="001F2357"/>
    <w:rsid w:val="001F236D"/>
    <w:rsid w:val="001F297C"/>
    <w:rsid w:val="001F2D4F"/>
    <w:rsid w:val="001F32CB"/>
    <w:rsid w:val="001F346D"/>
    <w:rsid w:val="001F35E9"/>
    <w:rsid w:val="001F41C3"/>
    <w:rsid w:val="001F47AC"/>
    <w:rsid w:val="001F4F63"/>
    <w:rsid w:val="001F5261"/>
    <w:rsid w:val="001F67DB"/>
    <w:rsid w:val="001F6D06"/>
    <w:rsid w:val="001F71AA"/>
    <w:rsid w:val="001F7284"/>
    <w:rsid w:val="001F76A3"/>
    <w:rsid w:val="001F77B7"/>
    <w:rsid w:val="001F7B4A"/>
    <w:rsid w:val="001F7D5A"/>
    <w:rsid w:val="00200494"/>
    <w:rsid w:val="002007F3"/>
    <w:rsid w:val="00200DCA"/>
    <w:rsid w:val="00201CD5"/>
    <w:rsid w:val="00201D61"/>
    <w:rsid w:val="00201EE9"/>
    <w:rsid w:val="002026D1"/>
    <w:rsid w:val="00203157"/>
    <w:rsid w:val="00203DDC"/>
    <w:rsid w:val="00204E6B"/>
    <w:rsid w:val="00206662"/>
    <w:rsid w:val="00206841"/>
    <w:rsid w:val="00206B4A"/>
    <w:rsid w:val="002073F3"/>
    <w:rsid w:val="00207460"/>
    <w:rsid w:val="00207E88"/>
    <w:rsid w:val="002105D4"/>
    <w:rsid w:val="0021074A"/>
    <w:rsid w:val="00210954"/>
    <w:rsid w:val="002113AE"/>
    <w:rsid w:val="002119D5"/>
    <w:rsid w:val="00211D45"/>
    <w:rsid w:val="002124F8"/>
    <w:rsid w:val="0021252E"/>
    <w:rsid w:val="00212C3C"/>
    <w:rsid w:val="00212D2A"/>
    <w:rsid w:val="002134A6"/>
    <w:rsid w:val="00213628"/>
    <w:rsid w:val="002138BB"/>
    <w:rsid w:val="00213AA5"/>
    <w:rsid w:val="00213FCB"/>
    <w:rsid w:val="00214033"/>
    <w:rsid w:val="00214341"/>
    <w:rsid w:val="00214422"/>
    <w:rsid w:val="00214D8E"/>
    <w:rsid w:val="0021534E"/>
    <w:rsid w:val="00215377"/>
    <w:rsid w:val="0021775D"/>
    <w:rsid w:val="00220046"/>
    <w:rsid w:val="002202AA"/>
    <w:rsid w:val="00220807"/>
    <w:rsid w:val="002209B3"/>
    <w:rsid w:val="002224D1"/>
    <w:rsid w:val="00223928"/>
    <w:rsid w:val="00224896"/>
    <w:rsid w:val="00224B18"/>
    <w:rsid w:val="002250E2"/>
    <w:rsid w:val="002255CB"/>
    <w:rsid w:val="00225667"/>
    <w:rsid w:val="0022595B"/>
    <w:rsid w:val="0022601A"/>
    <w:rsid w:val="002261DA"/>
    <w:rsid w:val="00226AE0"/>
    <w:rsid w:val="00226EF6"/>
    <w:rsid w:val="00226F6E"/>
    <w:rsid w:val="00227679"/>
    <w:rsid w:val="0022769D"/>
    <w:rsid w:val="00227B81"/>
    <w:rsid w:val="00227FBF"/>
    <w:rsid w:val="002307D8"/>
    <w:rsid w:val="00230CDA"/>
    <w:rsid w:val="00230FF4"/>
    <w:rsid w:val="00231639"/>
    <w:rsid w:val="0023228D"/>
    <w:rsid w:val="00232E39"/>
    <w:rsid w:val="002336A8"/>
    <w:rsid w:val="00233947"/>
    <w:rsid w:val="00234908"/>
    <w:rsid w:val="00234A00"/>
    <w:rsid w:val="002350C7"/>
    <w:rsid w:val="00235441"/>
    <w:rsid w:val="002355E8"/>
    <w:rsid w:val="00235859"/>
    <w:rsid w:val="002366C0"/>
    <w:rsid w:val="0023671B"/>
    <w:rsid w:val="00236851"/>
    <w:rsid w:val="002371A3"/>
    <w:rsid w:val="00241444"/>
    <w:rsid w:val="00241BD6"/>
    <w:rsid w:val="00242028"/>
    <w:rsid w:val="00242087"/>
    <w:rsid w:val="002420D9"/>
    <w:rsid w:val="002426F6"/>
    <w:rsid w:val="00242D8B"/>
    <w:rsid w:val="00243360"/>
    <w:rsid w:val="00243DCC"/>
    <w:rsid w:val="00243F24"/>
    <w:rsid w:val="00244171"/>
    <w:rsid w:val="002448B2"/>
    <w:rsid w:val="00244B95"/>
    <w:rsid w:val="00245795"/>
    <w:rsid w:val="00245A5D"/>
    <w:rsid w:val="00245BC9"/>
    <w:rsid w:val="00246077"/>
    <w:rsid w:val="002462AB"/>
    <w:rsid w:val="00246C9B"/>
    <w:rsid w:val="00246CE0"/>
    <w:rsid w:val="002476C1"/>
    <w:rsid w:val="00247E9E"/>
    <w:rsid w:val="00250286"/>
    <w:rsid w:val="00250480"/>
    <w:rsid w:val="002504F0"/>
    <w:rsid w:val="00250507"/>
    <w:rsid w:val="00251125"/>
    <w:rsid w:val="002512D9"/>
    <w:rsid w:val="00251459"/>
    <w:rsid w:val="00251638"/>
    <w:rsid w:val="0025195D"/>
    <w:rsid w:val="00252843"/>
    <w:rsid w:val="0025365D"/>
    <w:rsid w:val="00253A16"/>
    <w:rsid w:val="00253B24"/>
    <w:rsid w:val="00253BF5"/>
    <w:rsid w:val="00253E51"/>
    <w:rsid w:val="002546B8"/>
    <w:rsid w:val="00255939"/>
    <w:rsid w:val="00255AD0"/>
    <w:rsid w:val="00255D44"/>
    <w:rsid w:val="00256480"/>
    <w:rsid w:val="00256555"/>
    <w:rsid w:val="00256CD5"/>
    <w:rsid w:val="00257059"/>
    <w:rsid w:val="00257123"/>
    <w:rsid w:val="0025738A"/>
    <w:rsid w:val="002573DA"/>
    <w:rsid w:val="002575C1"/>
    <w:rsid w:val="002578B7"/>
    <w:rsid w:val="00260193"/>
    <w:rsid w:val="0026078E"/>
    <w:rsid w:val="00260AE8"/>
    <w:rsid w:val="00260F25"/>
    <w:rsid w:val="0026156E"/>
    <w:rsid w:val="002622AD"/>
    <w:rsid w:val="00262637"/>
    <w:rsid w:val="002626F9"/>
    <w:rsid w:val="002628CF"/>
    <w:rsid w:val="00262977"/>
    <w:rsid w:val="00262BF6"/>
    <w:rsid w:val="0026325C"/>
    <w:rsid w:val="00263471"/>
    <w:rsid w:val="0026398F"/>
    <w:rsid w:val="00263ACD"/>
    <w:rsid w:val="00263CF6"/>
    <w:rsid w:val="00264019"/>
    <w:rsid w:val="002643FA"/>
    <w:rsid w:val="002647EB"/>
    <w:rsid w:val="00264A8B"/>
    <w:rsid w:val="00265881"/>
    <w:rsid w:val="00266589"/>
    <w:rsid w:val="0026774F"/>
    <w:rsid w:val="00267A4E"/>
    <w:rsid w:val="00267E4B"/>
    <w:rsid w:val="002703FF"/>
    <w:rsid w:val="00270429"/>
    <w:rsid w:val="002705D7"/>
    <w:rsid w:val="002709BD"/>
    <w:rsid w:val="002709BF"/>
    <w:rsid w:val="00270CAB"/>
    <w:rsid w:val="002710B6"/>
    <w:rsid w:val="002713C2"/>
    <w:rsid w:val="00271996"/>
    <w:rsid w:val="00271D9A"/>
    <w:rsid w:val="00271E2A"/>
    <w:rsid w:val="00271E66"/>
    <w:rsid w:val="00272665"/>
    <w:rsid w:val="0027360F"/>
    <w:rsid w:val="00273760"/>
    <w:rsid w:val="00274B85"/>
    <w:rsid w:val="00275CAB"/>
    <w:rsid w:val="0027626F"/>
    <w:rsid w:val="00276602"/>
    <w:rsid w:val="00276632"/>
    <w:rsid w:val="0027690F"/>
    <w:rsid w:val="002769F4"/>
    <w:rsid w:val="00277930"/>
    <w:rsid w:val="00277DC3"/>
    <w:rsid w:val="00280276"/>
    <w:rsid w:val="002804F0"/>
    <w:rsid w:val="00280B2C"/>
    <w:rsid w:val="00280EBF"/>
    <w:rsid w:val="0028119F"/>
    <w:rsid w:val="002815C8"/>
    <w:rsid w:val="002817F3"/>
    <w:rsid w:val="00281871"/>
    <w:rsid w:val="00281D1F"/>
    <w:rsid w:val="002820F6"/>
    <w:rsid w:val="0028274B"/>
    <w:rsid w:val="00282AAD"/>
    <w:rsid w:val="00283504"/>
    <w:rsid w:val="00283C01"/>
    <w:rsid w:val="00283C27"/>
    <w:rsid w:val="00284005"/>
    <w:rsid w:val="002840E8"/>
    <w:rsid w:val="002842F1"/>
    <w:rsid w:val="00284F1F"/>
    <w:rsid w:val="00285449"/>
    <w:rsid w:val="00285EF3"/>
    <w:rsid w:val="002862CC"/>
    <w:rsid w:val="002863EB"/>
    <w:rsid w:val="002865B4"/>
    <w:rsid w:val="00286CBA"/>
    <w:rsid w:val="00286D8E"/>
    <w:rsid w:val="00287426"/>
    <w:rsid w:val="00287638"/>
    <w:rsid w:val="002879FE"/>
    <w:rsid w:val="0029040D"/>
    <w:rsid w:val="00290ADB"/>
    <w:rsid w:val="00290BBC"/>
    <w:rsid w:val="00290CFE"/>
    <w:rsid w:val="00291281"/>
    <w:rsid w:val="002915F5"/>
    <w:rsid w:val="002922A8"/>
    <w:rsid w:val="002923AB"/>
    <w:rsid w:val="002925F7"/>
    <w:rsid w:val="00292D06"/>
    <w:rsid w:val="00292D45"/>
    <w:rsid w:val="002938AD"/>
    <w:rsid w:val="00293939"/>
    <w:rsid w:val="002942C1"/>
    <w:rsid w:val="002945BB"/>
    <w:rsid w:val="0029481B"/>
    <w:rsid w:val="00295080"/>
    <w:rsid w:val="00295CEF"/>
    <w:rsid w:val="00295D69"/>
    <w:rsid w:val="00295E51"/>
    <w:rsid w:val="00295F4B"/>
    <w:rsid w:val="00296427"/>
    <w:rsid w:val="00296D55"/>
    <w:rsid w:val="00296D8E"/>
    <w:rsid w:val="00297B87"/>
    <w:rsid w:val="00297D4B"/>
    <w:rsid w:val="00297F17"/>
    <w:rsid w:val="002A003B"/>
    <w:rsid w:val="002A063A"/>
    <w:rsid w:val="002A121B"/>
    <w:rsid w:val="002A1494"/>
    <w:rsid w:val="002A16D4"/>
    <w:rsid w:val="002A1E98"/>
    <w:rsid w:val="002A2300"/>
    <w:rsid w:val="002A3225"/>
    <w:rsid w:val="002A399F"/>
    <w:rsid w:val="002A3CB4"/>
    <w:rsid w:val="002A3CF8"/>
    <w:rsid w:val="002A3DF4"/>
    <w:rsid w:val="002A44AF"/>
    <w:rsid w:val="002A47FF"/>
    <w:rsid w:val="002A4C7C"/>
    <w:rsid w:val="002A4FE4"/>
    <w:rsid w:val="002A54C8"/>
    <w:rsid w:val="002A582A"/>
    <w:rsid w:val="002A58FD"/>
    <w:rsid w:val="002A5CF1"/>
    <w:rsid w:val="002A5F56"/>
    <w:rsid w:val="002A734A"/>
    <w:rsid w:val="002A7585"/>
    <w:rsid w:val="002A7B2A"/>
    <w:rsid w:val="002A7C6A"/>
    <w:rsid w:val="002B07E3"/>
    <w:rsid w:val="002B08EA"/>
    <w:rsid w:val="002B0A19"/>
    <w:rsid w:val="002B0E9B"/>
    <w:rsid w:val="002B1525"/>
    <w:rsid w:val="002B18BD"/>
    <w:rsid w:val="002B204D"/>
    <w:rsid w:val="002B206E"/>
    <w:rsid w:val="002B23D4"/>
    <w:rsid w:val="002B2F75"/>
    <w:rsid w:val="002B3688"/>
    <w:rsid w:val="002B37E0"/>
    <w:rsid w:val="002B494F"/>
    <w:rsid w:val="002B4BF6"/>
    <w:rsid w:val="002B5451"/>
    <w:rsid w:val="002B5475"/>
    <w:rsid w:val="002B58BE"/>
    <w:rsid w:val="002B62F5"/>
    <w:rsid w:val="002B65E0"/>
    <w:rsid w:val="002B68BE"/>
    <w:rsid w:val="002B6C0E"/>
    <w:rsid w:val="002B715E"/>
    <w:rsid w:val="002B773B"/>
    <w:rsid w:val="002B7FF8"/>
    <w:rsid w:val="002C004B"/>
    <w:rsid w:val="002C0AB6"/>
    <w:rsid w:val="002C109A"/>
    <w:rsid w:val="002C1124"/>
    <w:rsid w:val="002C15A3"/>
    <w:rsid w:val="002C161F"/>
    <w:rsid w:val="002C16D7"/>
    <w:rsid w:val="002C1917"/>
    <w:rsid w:val="002C19A7"/>
    <w:rsid w:val="002C1F44"/>
    <w:rsid w:val="002C233D"/>
    <w:rsid w:val="002C2F39"/>
    <w:rsid w:val="002C3B33"/>
    <w:rsid w:val="002C3C7C"/>
    <w:rsid w:val="002C3E86"/>
    <w:rsid w:val="002C4AC5"/>
    <w:rsid w:val="002C4E39"/>
    <w:rsid w:val="002C542F"/>
    <w:rsid w:val="002C5865"/>
    <w:rsid w:val="002C624B"/>
    <w:rsid w:val="002C65A8"/>
    <w:rsid w:val="002C71FD"/>
    <w:rsid w:val="002C7395"/>
    <w:rsid w:val="002C785D"/>
    <w:rsid w:val="002C7B1C"/>
    <w:rsid w:val="002C7D6D"/>
    <w:rsid w:val="002D00D0"/>
    <w:rsid w:val="002D0E92"/>
    <w:rsid w:val="002D100A"/>
    <w:rsid w:val="002D1D33"/>
    <w:rsid w:val="002D1E7C"/>
    <w:rsid w:val="002D26C9"/>
    <w:rsid w:val="002D27C4"/>
    <w:rsid w:val="002D2D39"/>
    <w:rsid w:val="002D3BAC"/>
    <w:rsid w:val="002D41D6"/>
    <w:rsid w:val="002D45EF"/>
    <w:rsid w:val="002D51BE"/>
    <w:rsid w:val="002D6C98"/>
    <w:rsid w:val="002D70BE"/>
    <w:rsid w:val="002D713A"/>
    <w:rsid w:val="002E0542"/>
    <w:rsid w:val="002E076B"/>
    <w:rsid w:val="002E0F07"/>
    <w:rsid w:val="002E1447"/>
    <w:rsid w:val="002E1AD0"/>
    <w:rsid w:val="002E1F57"/>
    <w:rsid w:val="002E2D27"/>
    <w:rsid w:val="002E2E5C"/>
    <w:rsid w:val="002E346D"/>
    <w:rsid w:val="002E471B"/>
    <w:rsid w:val="002E50FC"/>
    <w:rsid w:val="002E5483"/>
    <w:rsid w:val="002E5C30"/>
    <w:rsid w:val="002E6008"/>
    <w:rsid w:val="002E600D"/>
    <w:rsid w:val="002E638B"/>
    <w:rsid w:val="002E639C"/>
    <w:rsid w:val="002E65DA"/>
    <w:rsid w:val="002E6654"/>
    <w:rsid w:val="002E69B0"/>
    <w:rsid w:val="002E742E"/>
    <w:rsid w:val="002E76F2"/>
    <w:rsid w:val="002E7C67"/>
    <w:rsid w:val="002F05AF"/>
    <w:rsid w:val="002F0613"/>
    <w:rsid w:val="002F0794"/>
    <w:rsid w:val="002F09C7"/>
    <w:rsid w:val="002F0B57"/>
    <w:rsid w:val="002F0C98"/>
    <w:rsid w:val="002F1524"/>
    <w:rsid w:val="002F1815"/>
    <w:rsid w:val="002F23A7"/>
    <w:rsid w:val="002F4043"/>
    <w:rsid w:val="002F4C52"/>
    <w:rsid w:val="002F56A4"/>
    <w:rsid w:val="002F5E08"/>
    <w:rsid w:val="002F6256"/>
    <w:rsid w:val="002F63C1"/>
    <w:rsid w:val="002F64CA"/>
    <w:rsid w:val="002F7821"/>
    <w:rsid w:val="0030014B"/>
    <w:rsid w:val="00300953"/>
    <w:rsid w:val="00301166"/>
    <w:rsid w:val="00301303"/>
    <w:rsid w:val="00301AF8"/>
    <w:rsid w:val="00301F0B"/>
    <w:rsid w:val="003022E6"/>
    <w:rsid w:val="00302368"/>
    <w:rsid w:val="0030244C"/>
    <w:rsid w:val="003026DE"/>
    <w:rsid w:val="0030332E"/>
    <w:rsid w:val="003038CB"/>
    <w:rsid w:val="00304336"/>
    <w:rsid w:val="003043C7"/>
    <w:rsid w:val="00304522"/>
    <w:rsid w:val="00304AF0"/>
    <w:rsid w:val="00304D90"/>
    <w:rsid w:val="003051EF"/>
    <w:rsid w:val="0030536D"/>
    <w:rsid w:val="00305A93"/>
    <w:rsid w:val="00305B9C"/>
    <w:rsid w:val="00305BAD"/>
    <w:rsid w:val="00305C29"/>
    <w:rsid w:val="00305C2E"/>
    <w:rsid w:val="00305D4E"/>
    <w:rsid w:val="00305FE0"/>
    <w:rsid w:val="003060D4"/>
    <w:rsid w:val="00306CC5"/>
    <w:rsid w:val="00306F39"/>
    <w:rsid w:val="00307019"/>
    <w:rsid w:val="00307285"/>
    <w:rsid w:val="00307324"/>
    <w:rsid w:val="003073B7"/>
    <w:rsid w:val="00307659"/>
    <w:rsid w:val="00307B7C"/>
    <w:rsid w:val="00307FBD"/>
    <w:rsid w:val="003103A2"/>
    <w:rsid w:val="00310568"/>
    <w:rsid w:val="00310796"/>
    <w:rsid w:val="00310AB4"/>
    <w:rsid w:val="003111DA"/>
    <w:rsid w:val="00311B42"/>
    <w:rsid w:val="00311C3B"/>
    <w:rsid w:val="0031202A"/>
    <w:rsid w:val="00312740"/>
    <w:rsid w:val="003130B7"/>
    <w:rsid w:val="003131F6"/>
    <w:rsid w:val="003131FD"/>
    <w:rsid w:val="003134C9"/>
    <w:rsid w:val="003138C3"/>
    <w:rsid w:val="00313D37"/>
    <w:rsid w:val="003141B4"/>
    <w:rsid w:val="0031468A"/>
    <w:rsid w:val="0031489C"/>
    <w:rsid w:val="00314DB5"/>
    <w:rsid w:val="0031560C"/>
    <w:rsid w:val="00315987"/>
    <w:rsid w:val="00315996"/>
    <w:rsid w:val="00315B37"/>
    <w:rsid w:val="003163FC"/>
    <w:rsid w:val="00316696"/>
    <w:rsid w:val="00317058"/>
    <w:rsid w:val="003173D0"/>
    <w:rsid w:val="00317F51"/>
    <w:rsid w:val="00320156"/>
    <w:rsid w:val="003204ED"/>
    <w:rsid w:val="00321276"/>
    <w:rsid w:val="003215F2"/>
    <w:rsid w:val="003215F3"/>
    <w:rsid w:val="00321DFF"/>
    <w:rsid w:val="0032222E"/>
    <w:rsid w:val="003223BB"/>
    <w:rsid w:val="0032275D"/>
    <w:rsid w:val="003227CA"/>
    <w:rsid w:val="0032287B"/>
    <w:rsid w:val="00322BFE"/>
    <w:rsid w:val="0032382D"/>
    <w:rsid w:val="003241C4"/>
    <w:rsid w:val="003241DC"/>
    <w:rsid w:val="003242DA"/>
    <w:rsid w:val="0032442F"/>
    <w:rsid w:val="00324992"/>
    <w:rsid w:val="003251AA"/>
    <w:rsid w:val="00325543"/>
    <w:rsid w:val="00325581"/>
    <w:rsid w:val="003255D0"/>
    <w:rsid w:val="00326A7A"/>
    <w:rsid w:val="00326E93"/>
    <w:rsid w:val="0032713C"/>
    <w:rsid w:val="0032724F"/>
    <w:rsid w:val="003279B5"/>
    <w:rsid w:val="00327EAB"/>
    <w:rsid w:val="0033031B"/>
    <w:rsid w:val="003312D8"/>
    <w:rsid w:val="00331451"/>
    <w:rsid w:val="003315FE"/>
    <w:rsid w:val="00331B4F"/>
    <w:rsid w:val="00331BEF"/>
    <w:rsid w:val="00331EFE"/>
    <w:rsid w:val="003321FD"/>
    <w:rsid w:val="003333B7"/>
    <w:rsid w:val="003333D8"/>
    <w:rsid w:val="003334ED"/>
    <w:rsid w:val="003336C4"/>
    <w:rsid w:val="00333E08"/>
    <w:rsid w:val="00334216"/>
    <w:rsid w:val="003348A3"/>
    <w:rsid w:val="00334C01"/>
    <w:rsid w:val="00335F3A"/>
    <w:rsid w:val="0033672F"/>
    <w:rsid w:val="0033692B"/>
    <w:rsid w:val="00336E1A"/>
    <w:rsid w:val="00337566"/>
    <w:rsid w:val="003375DA"/>
    <w:rsid w:val="00340441"/>
    <w:rsid w:val="00340772"/>
    <w:rsid w:val="00340966"/>
    <w:rsid w:val="00341404"/>
    <w:rsid w:val="00341987"/>
    <w:rsid w:val="00341992"/>
    <w:rsid w:val="00342709"/>
    <w:rsid w:val="0034272B"/>
    <w:rsid w:val="003427F7"/>
    <w:rsid w:val="003434D4"/>
    <w:rsid w:val="00343703"/>
    <w:rsid w:val="00343768"/>
    <w:rsid w:val="00343D4B"/>
    <w:rsid w:val="003445B7"/>
    <w:rsid w:val="00344E0B"/>
    <w:rsid w:val="0034544D"/>
    <w:rsid w:val="00345EDB"/>
    <w:rsid w:val="00345EDE"/>
    <w:rsid w:val="003465BA"/>
    <w:rsid w:val="003466F4"/>
    <w:rsid w:val="0034674D"/>
    <w:rsid w:val="00346A06"/>
    <w:rsid w:val="00346A47"/>
    <w:rsid w:val="00346AA6"/>
    <w:rsid w:val="00346DC5"/>
    <w:rsid w:val="003475C7"/>
    <w:rsid w:val="00347AFC"/>
    <w:rsid w:val="00350604"/>
    <w:rsid w:val="003512F0"/>
    <w:rsid w:val="0035150E"/>
    <w:rsid w:val="00351610"/>
    <w:rsid w:val="003521FF"/>
    <w:rsid w:val="0035235C"/>
    <w:rsid w:val="0035249E"/>
    <w:rsid w:val="003531EE"/>
    <w:rsid w:val="00353451"/>
    <w:rsid w:val="003539AF"/>
    <w:rsid w:val="0035468E"/>
    <w:rsid w:val="0035489C"/>
    <w:rsid w:val="00355231"/>
    <w:rsid w:val="00355BC4"/>
    <w:rsid w:val="003562EF"/>
    <w:rsid w:val="00356A73"/>
    <w:rsid w:val="00356D0D"/>
    <w:rsid w:val="00357271"/>
    <w:rsid w:val="003575A5"/>
    <w:rsid w:val="00357F75"/>
    <w:rsid w:val="003601AA"/>
    <w:rsid w:val="003605C5"/>
    <w:rsid w:val="003607E1"/>
    <w:rsid w:val="00360CD8"/>
    <w:rsid w:val="003618E6"/>
    <w:rsid w:val="0036239C"/>
    <w:rsid w:val="00362B9C"/>
    <w:rsid w:val="00362D00"/>
    <w:rsid w:val="0036359F"/>
    <w:rsid w:val="00363715"/>
    <w:rsid w:val="003639A3"/>
    <w:rsid w:val="00363EF0"/>
    <w:rsid w:val="0036487A"/>
    <w:rsid w:val="00365B7F"/>
    <w:rsid w:val="00365F2E"/>
    <w:rsid w:val="00365F7B"/>
    <w:rsid w:val="0036643A"/>
    <w:rsid w:val="00366562"/>
    <w:rsid w:val="003668D8"/>
    <w:rsid w:val="00367DFC"/>
    <w:rsid w:val="00370137"/>
    <w:rsid w:val="00370CAB"/>
    <w:rsid w:val="0037100B"/>
    <w:rsid w:val="00371480"/>
    <w:rsid w:val="00371DAA"/>
    <w:rsid w:val="0037285D"/>
    <w:rsid w:val="00372985"/>
    <w:rsid w:val="00372FA2"/>
    <w:rsid w:val="003738A5"/>
    <w:rsid w:val="003738D7"/>
    <w:rsid w:val="00373A27"/>
    <w:rsid w:val="00373BC3"/>
    <w:rsid w:val="003741DB"/>
    <w:rsid w:val="0037433A"/>
    <w:rsid w:val="00374912"/>
    <w:rsid w:val="00374E24"/>
    <w:rsid w:val="00374F72"/>
    <w:rsid w:val="00375973"/>
    <w:rsid w:val="00375B84"/>
    <w:rsid w:val="00376883"/>
    <w:rsid w:val="00377852"/>
    <w:rsid w:val="00377C9F"/>
    <w:rsid w:val="00377F6A"/>
    <w:rsid w:val="0038070C"/>
    <w:rsid w:val="00380EC8"/>
    <w:rsid w:val="00381398"/>
    <w:rsid w:val="003814CE"/>
    <w:rsid w:val="0038189C"/>
    <w:rsid w:val="0038288D"/>
    <w:rsid w:val="003828DC"/>
    <w:rsid w:val="003830CC"/>
    <w:rsid w:val="0038351C"/>
    <w:rsid w:val="00383697"/>
    <w:rsid w:val="00383BDF"/>
    <w:rsid w:val="00384067"/>
    <w:rsid w:val="00384681"/>
    <w:rsid w:val="00384905"/>
    <w:rsid w:val="00384960"/>
    <w:rsid w:val="00384DD5"/>
    <w:rsid w:val="00384E3B"/>
    <w:rsid w:val="00385086"/>
    <w:rsid w:val="003851FE"/>
    <w:rsid w:val="00385357"/>
    <w:rsid w:val="003855C8"/>
    <w:rsid w:val="003856E8"/>
    <w:rsid w:val="00385E0C"/>
    <w:rsid w:val="00385E37"/>
    <w:rsid w:val="00385F37"/>
    <w:rsid w:val="00385F88"/>
    <w:rsid w:val="003868CE"/>
    <w:rsid w:val="00386D55"/>
    <w:rsid w:val="00386E46"/>
    <w:rsid w:val="00387030"/>
    <w:rsid w:val="00387115"/>
    <w:rsid w:val="0038735E"/>
    <w:rsid w:val="00387573"/>
    <w:rsid w:val="0038799A"/>
    <w:rsid w:val="00387F34"/>
    <w:rsid w:val="00390192"/>
    <w:rsid w:val="00390565"/>
    <w:rsid w:val="0039104A"/>
    <w:rsid w:val="00391261"/>
    <w:rsid w:val="00391C81"/>
    <w:rsid w:val="003922F1"/>
    <w:rsid w:val="00392766"/>
    <w:rsid w:val="003929B9"/>
    <w:rsid w:val="0039337D"/>
    <w:rsid w:val="00393BC1"/>
    <w:rsid w:val="0039408A"/>
    <w:rsid w:val="003940D5"/>
    <w:rsid w:val="00394D2E"/>
    <w:rsid w:val="00394F0F"/>
    <w:rsid w:val="003958BA"/>
    <w:rsid w:val="00395C60"/>
    <w:rsid w:val="00395E51"/>
    <w:rsid w:val="00395EB0"/>
    <w:rsid w:val="00396523"/>
    <w:rsid w:val="003965E2"/>
    <w:rsid w:val="00396BEA"/>
    <w:rsid w:val="00396F8C"/>
    <w:rsid w:val="003972C1"/>
    <w:rsid w:val="00397332"/>
    <w:rsid w:val="0039778C"/>
    <w:rsid w:val="00397EB9"/>
    <w:rsid w:val="003A0390"/>
    <w:rsid w:val="003A04DB"/>
    <w:rsid w:val="003A0C36"/>
    <w:rsid w:val="003A0FEF"/>
    <w:rsid w:val="003A1064"/>
    <w:rsid w:val="003A13C9"/>
    <w:rsid w:val="003A151E"/>
    <w:rsid w:val="003A17A3"/>
    <w:rsid w:val="003A1AE4"/>
    <w:rsid w:val="003A1F6A"/>
    <w:rsid w:val="003A23D5"/>
    <w:rsid w:val="003A256D"/>
    <w:rsid w:val="003A2B0A"/>
    <w:rsid w:val="003A2B4C"/>
    <w:rsid w:val="003A2C69"/>
    <w:rsid w:val="003A2DE7"/>
    <w:rsid w:val="003A2DF3"/>
    <w:rsid w:val="003A3241"/>
    <w:rsid w:val="003A34F0"/>
    <w:rsid w:val="003A3A2E"/>
    <w:rsid w:val="003A4FDE"/>
    <w:rsid w:val="003A5B74"/>
    <w:rsid w:val="003A605D"/>
    <w:rsid w:val="003A6DDD"/>
    <w:rsid w:val="003A71BB"/>
    <w:rsid w:val="003A768D"/>
    <w:rsid w:val="003A7834"/>
    <w:rsid w:val="003A7F25"/>
    <w:rsid w:val="003B041D"/>
    <w:rsid w:val="003B0770"/>
    <w:rsid w:val="003B1084"/>
    <w:rsid w:val="003B1856"/>
    <w:rsid w:val="003B185D"/>
    <w:rsid w:val="003B18CC"/>
    <w:rsid w:val="003B198A"/>
    <w:rsid w:val="003B1D50"/>
    <w:rsid w:val="003B2B66"/>
    <w:rsid w:val="003B2BCC"/>
    <w:rsid w:val="003B2DF3"/>
    <w:rsid w:val="003B3021"/>
    <w:rsid w:val="003B3378"/>
    <w:rsid w:val="003B3D7B"/>
    <w:rsid w:val="003B4499"/>
    <w:rsid w:val="003B4602"/>
    <w:rsid w:val="003B4817"/>
    <w:rsid w:val="003B5479"/>
    <w:rsid w:val="003B6B0D"/>
    <w:rsid w:val="003B71D8"/>
    <w:rsid w:val="003B7570"/>
    <w:rsid w:val="003B7D51"/>
    <w:rsid w:val="003B7D88"/>
    <w:rsid w:val="003C09E1"/>
    <w:rsid w:val="003C09E6"/>
    <w:rsid w:val="003C0A93"/>
    <w:rsid w:val="003C17A9"/>
    <w:rsid w:val="003C184B"/>
    <w:rsid w:val="003C1E38"/>
    <w:rsid w:val="003C1EB7"/>
    <w:rsid w:val="003C2E88"/>
    <w:rsid w:val="003C37BD"/>
    <w:rsid w:val="003C3E24"/>
    <w:rsid w:val="003C4DB0"/>
    <w:rsid w:val="003C6370"/>
    <w:rsid w:val="003C645E"/>
    <w:rsid w:val="003C66EF"/>
    <w:rsid w:val="003C741C"/>
    <w:rsid w:val="003C7735"/>
    <w:rsid w:val="003C77BC"/>
    <w:rsid w:val="003D0C21"/>
    <w:rsid w:val="003D0EB6"/>
    <w:rsid w:val="003D14AE"/>
    <w:rsid w:val="003D155C"/>
    <w:rsid w:val="003D21C9"/>
    <w:rsid w:val="003D2548"/>
    <w:rsid w:val="003D25B8"/>
    <w:rsid w:val="003D2935"/>
    <w:rsid w:val="003D3135"/>
    <w:rsid w:val="003D317D"/>
    <w:rsid w:val="003D35F3"/>
    <w:rsid w:val="003D36C3"/>
    <w:rsid w:val="003D4186"/>
    <w:rsid w:val="003D422B"/>
    <w:rsid w:val="003D48E6"/>
    <w:rsid w:val="003D4C24"/>
    <w:rsid w:val="003D4CDA"/>
    <w:rsid w:val="003D4D57"/>
    <w:rsid w:val="003D5409"/>
    <w:rsid w:val="003D5EFD"/>
    <w:rsid w:val="003D6256"/>
    <w:rsid w:val="003D6522"/>
    <w:rsid w:val="003D6E0A"/>
    <w:rsid w:val="003D6FD0"/>
    <w:rsid w:val="003D757B"/>
    <w:rsid w:val="003D7EAE"/>
    <w:rsid w:val="003D7F92"/>
    <w:rsid w:val="003E046C"/>
    <w:rsid w:val="003E0CF1"/>
    <w:rsid w:val="003E0F89"/>
    <w:rsid w:val="003E12BF"/>
    <w:rsid w:val="003E16AB"/>
    <w:rsid w:val="003E1E81"/>
    <w:rsid w:val="003E2E7C"/>
    <w:rsid w:val="003E31E8"/>
    <w:rsid w:val="003E3BB6"/>
    <w:rsid w:val="003E4345"/>
    <w:rsid w:val="003E540A"/>
    <w:rsid w:val="003E57E5"/>
    <w:rsid w:val="003E6140"/>
    <w:rsid w:val="003E6A56"/>
    <w:rsid w:val="003E6F0A"/>
    <w:rsid w:val="003E7098"/>
    <w:rsid w:val="003E7650"/>
    <w:rsid w:val="003E7E04"/>
    <w:rsid w:val="003F0523"/>
    <w:rsid w:val="003F14AC"/>
    <w:rsid w:val="003F2A49"/>
    <w:rsid w:val="003F2A58"/>
    <w:rsid w:val="003F2EE3"/>
    <w:rsid w:val="003F2F98"/>
    <w:rsid w:val="003F316B"/>
    <w:rsid w:val="003F32C3"/>
    <w:rsid w:val="003F3313"/>
    <w:rsid w:val="003F34C0"/>
    <w:rsid w:val="003F3561"/>
    <w:rsid w:val="003F4798"/>
    <w:rsid w:val="003F497B"/>
    <w:rsid w:val="003F537D"/>
    <w:rsid w:val="003F60FC"/>
    <w:rsid w:val="003F62BE"/>
    <w:rsid w:val="003F632B"/>
    <w:rsid w:val="003F6729"/>
    <w:rsid w:val="003F6B6C"/>
    <w:rsid w:val="003F6C5B"/>
    <w:rsid w:val="003F78B9"/>
    <w:rsid w:val="004002E3"/>
    <w:rsid w:val="00400DAD"/>
    <w:rsid w:val="004012A7"/>
    <w:rsid w:val="00401C2E"/>
    <w:rsid w:val="00402037"/>
    <w:rsid w:val="00402396"/>
    <w:rsid w:val="00402878"/>
    <w:rsid w:val="00402D76"/>
    <w:rsid w:val="00402FEF"/>
    <w:rsid w:val="00403274"/>
    <w:rsid w:val="004035DB"/>
    <w:rsid w:val="00403726"/>
    <w:rsid w:val="004042F6"/>
    <w:rsid w:val="00404370"/>
    <w:rsid w:val="00404BD3"/>
    <w:rsid w:val="00404F19"/>
    <w:rsid w:val="00405E5F"/>
    <w:rsid w:val="00405F7A"/>
    <w:rsid w:val="0040653E"/>
    <w:rsid w:val="0040691D"/>
    <w:rsid w:val="004076AF"/>
    <w:rsid w:val="004076F6"/>
    <w:rsid w:val="00407988"/>
    <w:rsid w:val="00407A38"/>
    <w:rsid w:val="00407B45"/>
    <w:rsid w:val="00407D57"/>
    <w:rsid w:val="00410256"/>
    <w:rsid w:val="004102AB"/>
    <w:rsid w:val="00410907"/>
    <w:rsid w:val="00410D9C"/>
    <w:rsid w:val="004110FE"/>
    <w:rsid w:val="0041134F"/>
    <w:rsid w:val="004116B9"/>
    <w:rsid w:val="00411DE6"/>
    <w:rsid w:val="00412025"/>
    <w:rsid w:val="0041230A"/>
    <w:rsid w:val="00412336"/>
    <w:rsid w:val="00413465"/>
    <w:rsid w:val="004135A9"/>
    <w:rsid w:val="00413865"/>
    <w:rsid w:val="00414106"/>
    <w:rsid w:val="004159C5"/>
    <w:rsid w:val="00415AEE"/>
    <w:rsid w:val="00415B70"/>
    <w:rsid w:val="004163A3"/>
    <w:rsid w:val="00416757"/>
    <w:rsid w:val="004169C1"/>
    <w:rsid w:val="00416B6B"/>
    <w:rsid w:val="00416BF6"/>
    <w:rsid w:val="00417A1A"/>
    <w:rsid w:val="004207D0"/>
    <w:rsid w:val="004208ED"/>
    <w:rsid w:val="004211B9"/>
    <w:rsid w:val="00421BCB"/>
    <w:rsid w:val="00421E5A"/>
    <w:rsid w:val="00422681"/>
    <w:rsid w:val="0042270E"/>
    <w:rsid w:val="00422873"/>
    <w:rsid w:val="00422FDA"/>
    <w:rsid w:val="0042422B"/>
    <w:rsid w:val="004245C0"/>
    <w:rsid w:val="0042529A"/>
    <w:rsid w:val="00425882"/>
    <w:rsid w:val="00425963"/>
    <w:rsid w:val="00425C27"/>
    <w:rsid w:val="00426429"/>
    <w:rsid w:val="00427140"/>
    <w:rsid w:val="0042724B"/>
    <w:rsid w:val="00427960"/>
    <w:rsid w:val="004313ED"/>
    <w:rsid w:val="004319DA"/>
    <w:rsid w:val="00432C9F"/>
    <w:rsid w:val="00433133"/>
    <w:rsid w:val="004339C6"/>
    <w:rsid w:val="0043439D"/>
    <w:rsid w:val="00434A7E"/>
    <w:rsid w:val="00434FAE"/>
    <w:rsid w:val="00435B13"/>
    <w:rsid w:val="00435D19"/>
    <w:rsid w:val="0043600D"/>
    <w:rsid w:val="004365B7"/>
    <w:rsid w:val="004369DF"/>
    <w:rsid w:val="00436CBC"/>
    <w:rsid w:val="00436D97"/>
    <w:rsid w:val="00437817"/>
    <w:rsid w:val="00437849"/>
    <w:rsid w:val="00437A4E"/>
    <w:rsid w:val="00437E5C"/>
    <w:rsid w:val="00440278"/>
    <w:rsid w:val="0044049C"/>
    <w:rsid w:val="004404BD"/>
    <w:rsid w:val="00440580"/>
    <w:rsid w:val="00440BBD"/>
    <w:rsid w:val="004429B3"/>
    <w:rsid w:val="00443849"/>
    <w:rsid w:val="00444D5C"/>
    <w:rsid w:val="00444D69"/>
    <w:rsid w:val="00444DF9"/>
    <w:rsid w:val="00444EC4"/>
    <w:rsid w:val="004457B6"/>
    <w:rsid w:val="00445A42"/>
    <w:rsid w:val="00446284"/>
    <w:rsid w:val="0044629D"/>
    <w:rsid w:val="00446E9B"/>
    <w:rsid w:val="0044710F"/>
    <w:rsid w:val="004475A7"/>
    <w:rsid w:val="00447DCD"/>
    <w:rsid w:val="00450136"/>
    <w:rsid w:val="004508C2"/>
    <w:rsid w:val="004511F1"/>
    <w:rsid w:val="0045128D"/>
    <w:rsid w:val="00451428"/>
    <w:rsid w:val="004515AD"/>
    <w:rsid w:val="00451C53"/>
    <w:rsid w:val="004521BC"/>
    <w:rsid w:val="00452205"/>
    <w:rsid w:val="004527DA"/>
    <w:rsid w:val="00452E91"/>
    <w:rsid w:val="004532E2"/>
    <w:rsid w:val="004533FF"/>
    <w:rsid w:val="00453EC9"/>
    <w:rsid w:val="00453FA6"/>
    <w:rsid w:val="00454438"/>
    <w:rsid w:val="00454AEC"/>
    <w:rsid w:val="00454EB6"/>
    <w:rsid w:val="0045559D"/>
    <w:rsid w:val="004556BD"/>
    <w:rsid w:val="0045576F"/>
    <w:rsid w:val="004562A5"/>
    <w:rsid w:val="004572C3"/>
    <w:rsid w:val="0045730F"/>
    <w:rsid w:val="004573FE"/>
    <w:rsid w:val="004574A5"/>
    <w:rsid w:val="004576B8"/>
    <w:rsid w:val="004577C1"/>
    <w:rsid w:val="00457F27"/>
    <w:rsid w:val="00460A4A"/>
    <w:rsid w:val="00461E0F"/>
    <w:rsid w:val="004621E4"/>
    <w:rsid w:val="0046231C"/>
    <w:rsid w:val="0046333A"/>
    <w:rsid w:val="00463A2B"/>
    <w:rsid w:val="00463AB7"/>
    <w:rsid w:val="004644FF"/>
    <w:rsid w:val="00464B5B"/>
    <w:rsid w:val="00464F6A"/>
    <w:rsid w:val="00465020"/>
    <w:rsid w:val="00465034"/>
    <w:rsid w:val="004651B4"/>
    <w:rsid w:val="00465D97"/>
    <w:rsid w:val="00466CE8"/>
    <w:rsid w:val="00467060"/>
    <w:rsid w:val="0046791F"/>
    <w:rsid w:val="00471C51"/>
    <w:rsid w:val="00472B99"/>
    <w:rsid w:val="00472C3C"/>
    <w:rsid w:val="0047362A"/>
    <w:rsid w:val="00473D07"/>
    <w:rsid w:val="00473D72"/>
    <w:rsid w:val="00474598"/>
    <w:rsid w:val="004757E2"/>
    <w:rsid w:val="00475C19"/>
    <w:rsid w:val="00477438"/>
    <w:rsid w:val="00477689"/>
    <w:rsid w:val="004776EC"/>
    <w:rsid w:val="00477B1E"/>
    <w:rsid w:val="00480132"/>
    <w:rsid w:val="0048028F"/>
    <w:rsid w:val="00480299"/>
    <w:rsid w:val="004803A6"/>
    <w:rsid w:val="00480562"/>
    <w:rsid w:val="00480903"/>
    <w:rsid w:val="004809AB"/>
    <w:rsid w:val="00481C94"/>
    <w:rsid w:val="0048250A"/>
    <w:rsid w:val="00482F1A"/>
    <w:rsid w:val="00483D15"/>
    <w:rsid w:val="0048408E"/>
    <w:rsid w:val="0048418F"/>
    <w:rsid w:val="00484642"/>
    <w:rsid w:val="00484EE8"/>
    <w:rsid w:val="004859D3"/>
    <w:rsid w:val="00485B87"/>
    <w:rsid w:val="00486772"/>
    <w:rsid w:val="00486787"/>
    <w:rsid w:val="0048679B"/>
    <w:rsid w:val="0048684B"/>
    <w:rsid w:val="00486993"/>
    <w:rsid w:val="00486C23"/>
    <w:rsid w:val="0048779A"/>
    <w:rsid w:val="004878EC"/>
    <w:rsid w:val="00487A93"/>
    <w:rsid w:val="00487C2C"/>
    <w:rsid w:val="00487ED9"/>
    <w:rsid w:val="00490DFE"/>
    <w:rsid w:val="00490E4A"/>
    <w:rsid w:val="00491EF0"/>
    <w:rsid w:val="00491F24"/>
    <w:rsid w:val="0049241A"/>
    <w:rsid w:val="004928C7"/>
    <w:rsid w:val="00492CCD"/>
    <w:rsid w:val="00492EAD"/>
    <w:rsid w:val="00493611"/>
    <w:rsid w:val="004936FB"/>
    <w:rsid w:val="0049490B"/>
    <w:rsid w:val="00494A69"/>
    <w:rsid w:val="00494C79"/>
    <w:rsid w:val="0049558E"/>
    <w:rsid w:val="0049588B"/>
    <w:rsid w:val="00495AF3"/>
    <w:rsid w:val="00495BAC"/>
    <w:rsid w:val="0049634C"/>
    <w:rsid w:val="0049659F"/>
    <w:rsid w:val="004974C9"/>
    <w:rsid w:val="00497BC5"/>
    <w:rsid w:val="004A06A3"/>
    <w:rsid w:val="004A0E96"/>
    <w:rsid w:val="004A11DF"/>
    <w:rsid w:val="004A1DD2"/>
    <w:rsid w:val="004A201F"/>
    <w:rsid w:val="004A240C"/>
    <w:rsid w:val="004A2799"/>
    <w:rsid w:val="004A35F0"/>
    <w:rsid w:val="004A3A80"/>
    <w:rsid w:val="004A3E5E"/>
    <w:rsid w:val="004A3EA0"/>
    <w:rsid w:val="004A422E"/>
    <w:rsid w:val="004A4845"/>
    <w:rsid w:val="004A562E"/>
    <w:rsid w:val="004A5702"/>
    <w:rsid w:val="004A5703"/>
    <w:rsid w:val="004A5DAC"/>
    <w:rsid w:val="004A621C"/>
    <w:rsid w:val="004A6C61"/>
    <w:rsid w:val="004A719F"/>
    <w:rsid w:val="004A72C2"/>
    <w:rsid w:val="004B0B13"/>
    <w:rsid w:val="004B0DFB"/>
    <w:rsid w:val="004B0F69"/>
    <w:rsid w:val="004B1A62"/>
    <w:rsid w:val="004B1CD8"/>
    <w:rsid w:val="004B1F1A"/>
    <w:rsid w:val="004B2183"/>
    <w:rsid w:val="004B2A6A"/>
    <w:rsid w:val="004B2AD3"/>
    <w:rsid w:val="004B2F69"/>
    <w:rsid w:val="004B4371"/>
    <w:rsid w:val="004B43B6"/>
    <w:rsid w:val="004B4F28"/>
    <w:rsid w:val="004B52CC"/>
    <w:rsid w:val="004B54C4"/>
    <w:rsid w:val="004B555E"/>
    <w:rsid w:val="004B56CD"/>
    <w:rsid w:val="004B5870"/>
    <w:rsid w:val="004B5A0F"/>
    <w:rsid w:val="004B5CB1"/>
    <w:rsid w:val="004B5CDD"/>
    <w:rsid w:val="004B5F69"/>
    <w:rsid w:val="004B658D"/>
    <w:rsid w:val="004B6C41"/>
    <w:rsid w:val="004B6CA3"/>
    <w:rsid w:val="004B725C"/>
    <w:rsid w:val="004B77DE"/>
    <w:rsid w:val="004B7D00"/>
    <w:rsid w:val="004C0BB9"/>
    <w:rsid w:val="004C0E6E"/>
    <w:rsid w:val="004C110D"/>
    <w:rsid w:val="004C117F"/>
    <w:rsid w:val="004C12F3"/>
    <w:rsid w:val="004C1AD1"/>
    <w:rsid w:val="004C1E10"/>
    <w:rsid w:val="004C1E6C"/>
    <w:rsid w:val="004C236D"/>
    <w:rsid w:val="004C2B63"/>
    <w:rsid w:val="004C2F06"/>
    <w:rsid w:val="004C32CC"/>
    <w:rsid w:val="004C341C"/>
    <w:rsid w:val="004C386C"/>
    <w:rsid w:val="004C3B83"/>
    <w:rsid w:val="004C3BE7"/>
    <w:rsid w:val="004C4437"/>
    <w:rsid w:val="004C44CF"/>
    <w:rsid w:val="004C4716"/>
    <w:rsid w:val="004C4BDB"/>
    <w:rsid w:val="004C4D10"/>
    <w:rsid w:val="004C4E0B"/>
    <w:rsid w:val="004C5DFA"/>
    <w:rsid w:val="004C6691"/>
    <w:rsid w:val="004C69EA"/>
    <w:rsid w:val="004C6E7E"/>
    <w:rsid w:val="004D09E6"/>
    <w:rsid w:val="004D11E5"/>
    <w:rsid w:val="004D1459"/>
    <w:rsid w:val="004D1AD0"/>
    <w:rsid w:val="004D1DE2"/>
    <w:rsid w:val="004D21D3"/>
    <w:rsid w:val="004D24D2"/>
    <w:rsid w:val="004D31B9"/>
    <w:rsid w:val="004D385F"/>
    <w:rsid w:val="004D3D1F"/>
    <w:rsid w:val="004D4156"/>
    <w:rsid w:val="004D487D"/>
    <w:rsid w:val="004D4E14"/>
    <w:rsid w:val="004D5968"/>
    <w:rsid w:val="004D6657"/>
    <w:rsid w:val="004D6915"/>
    <w:rsid w:val="004D6C27"/>
    <w:rsid w:val="004D6E30"/>
    <w:rsid w:val="004E07A0"/>
    <w:rsid w:val="004E1139"/>
    <w:rsid w:val="004E11DB"/>
    <w:rsid w:val="004E13E3"/>
    <w:rsid w:val="004E1597"/>
    <w:rsid w:val="004E1CDC"/>
    <w:rsid w:val="004E1D40"/>
    <w:rsid w:val="004E1D74"/>
    <w:rsid w:val="004E20AC"/>
    <w:rsid w:val="004E259A"/>
    <w:rsid w:val="004E2666"/>
    <w:rsid w:val="004E27E8"/>
    <w:rsid w:val="004E2FC2"/>
    <w:rsid w:val="004E4C2E"/>
    <w:rsid w:val="004E4CA9"/>
    <w:rsid w:val="004E4FB0"/>
    <w:rsid w:val="004E5915"/>
    <w:rsid w:val="004E5952"/>
    <w:rsid w:val="004E5ACA"/>
    <w:rsid w:val="004E6529"/>
    <w:rsid w:val="004E6DE7"/>
    <w:rsid w:val="004E727C"/>
    <w:rsid w:val="004F0919"/>
    <w:rsid w:val="004F1BAE"/>
    <w:rsid w:val="004F2706"/>
    <w:rsid w:val="004F3162"/>
    <w:rsid w:val="004F32C2"/>
    <w:rsid w:val="004F35C2"/>
    <w:rsid w:val="004F38A9"/>
    <w:rsid w:val="004F47CF"/>
    <w:rsid w:val="004F4D5A"/>
    <w:rsid w:val="004F4FA2"/>
    <w:rsid w:val="004F6A2A"/>
    <w:rsid w:val="004F6BCF"/>
    <w:rsid w:val="004F6F33"/>
    <w:rsid w:val="004F709C"/>
    <w:rsid w:val="004F716E"/>
    <w:rsid w:val="004F71F5"/>
    <w:rsid w:val="00500041"/>
    <w:rsid w:val="00500374"/>
    <w:rsid w:val="00500C0B"/>
    <w:rsid w:val="00501255"/>
    <w:rsid w:val="005017D0"/>
    <w:rsid w:val="00501E4C"/>
    <w:rsid w:val="0050220E"/>
    <w:rsid w:val="00503188"/>
    <w:rsid w:val="00503278"/>
    <w:rsid w:val="005036FE"/>
    <w:rsid w:val="00503869"/>
    <w:rsid w:val="00503BC8"/>
    <w:rsid w:val="00503C72"/>
    <w:rsid w:val="0050408A"/>
    <w:rsid w:val="00504233"/>
    <w:rsid w:val="0050465C"/>
    <w:rsid w:val="00504FF9"/>
    <w:rsid w:val="005053EE"/>
    <w:rsid w:val="00505A61"/>
    <w:rsid w:val="005063E1"/>
    <w:rsid w:val="00506824"/>
    <w:rsid w:val="00506BD1"/>
    <w:rsid w:val="00507751"/>
    <w:rsid w:val="00507953"/>
    <w:rsid w:val="0051009B"/>
    <w:rsid w:val="005101F3"/>
    <w:rsid w:val="00510EE1"/>
    <w:rsid w:val="0051111C"/>
    <w:rsid w:val="005118DE"/>
    <w:rsid w:val="00511B16"/>
    <w:rsid w:val="00511B98"/>
    <w:rsid w:val="00512296"/>
    <w:rsid w:val="00512650"/>
    <w:rsid w:val="005132EA"/>
    <w:rsid w:val="00513EDB"/>
    <w:rsid w:val="005144C0"/>
    <w:rsid w:val="005147F6"/>
    <w:rsid w:val="0051497A"/>
    <w:rsid w:val="005149A4"/>
    <w:rsid w:val="00514D4B"/>
    <w:rsid w:val="0051520D"/>
    <w:rsid w:val="005156FB"/>
    <w:rsid w:val="00515E93"/>
    <w:rsid w:val="00515F32"/>
    <w:rsid w:val="005163AF"/>
    <w:rsid w:val="00516421"/>
    <w:rsid w:val="005166AD"/>
    <w:rsid w:val="00516863"/>
    <w:rsid w:val="0051719F"/>
    <w:rsid w:val="005201CA"/>
    <w:rsid w:val="00520211"/>
    <w:rsid w:val="00521705"/>
    <w:rsid w:val="00521FBB"/>
    <w:rsid w:val="00522068"/>
    <w:rsid w:val="0052231B"/>
    <w:rsid w:val="005229F7"/>
    <w:rsid w:val="0052308D"/>
    <w:rsid w:val="00523349"/>
    <w:rsid w:val="00523693"/>
    <w:rsid w:val="00523C4E"/>
    <w:rsid w:val="00524739"/>
    <w:rsid w:val="00524BEB"/>
    <w:rsid w:val="00524C02"/>
    <w:rsid w:val="00525797"/>
    <w:rsid w:val="005259D2"/>
    <w:rsid w:val="00525C63"/>
    <w:rsid w:val="00525F5B"/>
    <w:rsid w:val="005260B9"/>
    <w:rsid w:val="00526B08"/>
    <w:rsid w:val="00526D6E"/>
    <w:rsid w:val="0052711B"/>
    <w:rsid w:val="00527224"/>
    <w:rsid w:val="0052747C"/>
    <w:rsid w:val="00527980"/>
    <w:rsid w:val="00527A41"/>
    <w:rsid w:val="00530671"/>
    <w:rsid w:val="005308AB"/>
    <w:rsid w:val="00530BF4"/>
    <w:rsid w:val="00530E46"/>
    <w:rsid w:val="00531132"/>
    <w:rsid w:val="005315FB"/>
    <w:rsid w:val="00531885"/>
    <w:rsid w:val="00531C55"/>
    <w:rsid w:val="00531DE7"/>
    <w:rsid w:val="005329CD"/>
    <w:rsid w:val="005338A0"/>
    <w:rsid w:val="00534C74"/>
    <w:rsid w:val="00534C79"/>
    <w:rsid w:val="00534EA0"/>
    <w:rsid w:val="0053512B"/>
    <w:rsid w:val="005357C6"/>
    <w:rsid w:val="00535A21"/>
    <w:rsid w:val="00535E0E"/>
    <w:rsid w:val="005361EA"/>
    <w:rsid w:val="005361EF"/>
    <w:rsid w:val="0053642A"/>
    <w:rsid w:val="00536730"/>
    <w:rsid w:val="00536877"/>
    <w:rsid w:val="00537277"/>
    <w:rsid w:val="0053732B"/>
    <w:rsid w:val="005376BC"/>
    <w:rsid w:val="00537F79"/>
    <w:rsid w:val="005401F5"/>
    <w:rsid w:val="00540AC7"/>
    <w:rsid w:val="0054158E"/>
    <w:rsid w:val="00541A21"/>
    <w:rsid w:val="00541F46"/>
    <w:rsid w:val="005420A3"/>
    <w:rsid w:val="00542403"/>
    <w:rsid w:val="00542604"/>
    <w:rsid w:val="00542649"/>
    <w:rsid w:val="0054277F"/>
    <w:rsid w:val="00542D04"/>
    <w:rsid w:val="0054342F"/>
    <w:rsid w:val="00543481"/>
    <w:rsid w:val="0054348D"/>
    <w:rsid w:val="00543CBB"/>
    <w:rsid w:val="00543DC2"/>
    <w:rsid w:val="005445B1"/>
    <w:rsid w:val="005445C6"/>
    <w:rsid w:val="00544C84"/>
    <w:rsid w:val="00544EA3"/>
    <w:rsid w:val="00545641"/>
    <w:rsid w:val="00545F6F"/>
    <w:rsid w:val="00547302"/>
    <w:rsid w:val="005475A1"/>
    <w:rsid w:val="005478A9"/>
    <w:rsid w:val="00547D44"/>
    <w:rsid w:val="00547FF2"/>
    <w:rsid w:val="00550078"/>
    <w:rsid w:val="00550127"/>
    <w:rsid w:val="005504DD"/>
    <w:rsid w:val="00550F8B"/>
    <w:rsid w:val="00551626"/>
    <w:rsid w:val="00551FBC"/>
    <w:rsid w:val="00552C78"/>
    <w:rsid w:val="00553334"/>
    <w:rsid w:val="005540F2"/>
    <w:rsid w:val="0055478B"/>
    <w:rsid w:val="00554AAB"/>
    <w:rsid w:val="00555754"/>
    <w:rsid w:val="00555CD7"/>
    <w:rsid w:val="00555FC5"/>
    <w:rsid w:val="00556A3C"/>
    <w:rsid w:val="005570CC"/>
    <w:rsid w:val="005574FF"/>
    <w:rsid w:val="00557B1F"/>
    <w:rsid w:val="00557DBB"/>
    <w:rsid w:val="00560352"/>
    <w:rsid w:val="0056078A"/>
    <w:rsid w:val="00561253"/>
    <w:rsid w:val="0056141E"/>
    <w:rsid w:val="00561605"/>
    <w:rsid w:val="00561A45"/>
    <w:rsid w:val="00563C10"/>
    <w:rsid w:val="0056421B"/>
    <w:rsid w:val="005647A1"/>
    <w:rsid w:val="0056511B"/>
    <w:rsid w:val="0056517A"/>
    <w:rsid w:val="005656AB"/>
    <w:rsid w:val="005660A8"/>
    <w:rsid w:val="00566848"/>
    <w:rsid w:val="005668E5"/>
    <w:rsid w:val="00566C52"/>
    <w:rsid w:val="005671D8"/>
    <w:rsid w:val="00567385"/>
    <w:rsid w:val="005701EB"/>
    <w:rsid w:val="0057059B"/>
    <w:rsid w:val="00570921"/>
    <w:rsid w:val="00570B52"/>
    <w:rsid w:val="00570C37"/>
    <w:rsid w:val="00571324"/>
    <w:rsid w:val="00571692"/>
    <w:rsid w:val="00571C82"/>
    <w:rsid w:val="00571E48"/>
    <w:rsid w:val="00572016"/>
    <w:rsid w:val="005720E4"/>
    <w:rsid w:val="0057243D"/>
    <w:rsid w:val="00573017"/>
    <w:rsid w:val="00573642"/>
    <w:rsid w:val="00574AF6"/>
    <w:rsid w:val="00574FE7"/>
    <w:rsid w:val="005753C6"/>
    <w:rsid w:val="005754EB"/>
    <w:rsid w:val="00575913"/>
    <w:rsid w:val="00577AF4"/>
    <w:rsid w:val="00577CDD"/>
    <w:rsid w:val="005807D2"/>
    <w:rsid w:val="00581677"/>
    <w:rsid w:val="005816D5"/>
    <w:rsid w:val="00581D8C"/>
    <w:rsid w:val="005821EA"/>
    <w:rsid w:val="0058266A"/>
    <w:rsid w:val="00582E36"/>
    <w:rsid w:val="005833F2"/>
    <w:rsid w:val="005834C4"/>
    <w:rsid w:val="0058410B"/>
    <w:rsid w:val="005850E3"/>
    <w:rsid w:val="005852E1"/>
    <w:rsid w:val="00585AA5"/>
    <w:rsid w:val="005865CD"/>
    <w:rsid w:val="00586F6A"/>
    <w:rsid w:val="0058701B"/>
    <w:rsid w:val="0058750D"/>
    <w:rsid w:val="005875B4"/>
    <w:rsid w:val="00587FF7"/>
    <w:rsid w:val="005900B1"/>
    <w:rsid w:val="00590F46"/>
    <w:rsid w:val="0059129C"/>
    <w:rsid w:val="00591684"/>
    <w:rsid w:val="00591F5D"/>
    <w:rsid w:val="00592CCA"/>
    <w:rsid w:val="00593EAC"/>
    <w:rsid w:val="005941F4"/>
    <w:rsid w:val="0059454A"/>
    <w:rsid w:val="005947F1"/>
    <w:rsid w:val="00594A67"/>
    <w:rsid w:val="00594D30"/>
    <w:rsid w:val="00594ED6"/>
    <w:rsid w:val="0059532C"/>
    <w:rsid w:val="005955BD"/>
    <w:rsid w:val="00595967"/>
    <w:rsid w:val="005961E5"/>
    <w:rsid w:val="005963C6"/>
    <w:rsid w:val="00596507"/>
    <w:rsid w:val="00596522"/>
    <w:rsid w:val="00596819"/>
    <w:rsid w:val="00596B52"/>
    <w:rsid w:val="00597D08"/>
    <w:rsid w:val="00597F34"/>
    <w:rsid w:val="005A0158"/>
    <w:rsid w:val="005A01F6"/>
    <w:rsid w:val="005A03EC"/>
    <w:rsid w:val="005A03F1"/>
    <w:rsid w:val="005A0701"/>
    <w:rsid w:val="005A0B07"/>
    <w:rsid w:val="005A1585"/>
    <w:rsid w:val="005A1918"/>
    <w:rsid w:val="005A1B74"/>
    <w:rsid w:val="005A1D5A"/>
    <w:rsid w:val="005A21F6"/>
    <w:rsid w:val="005A23EA"/>
    <w:rsid w:val="005A25CE"/>
    <w:rsid w:val="005A26F4"/>
    <w:rsid w:val="005A2BF9"/>
    <w:rsid w:val="005A3595"/>
    <w:rsid w:val="005A4AFD"/>
    <w:rsid w:val="005A522F"/>
    <w:rsid w:val="005A65EF"/>
    <w:rsid w:val="005A735F"/>
    <w:rsid w:val="005A745B"/>
    <w:rsid w:val="005A786D"/>
    <w:rsid w:val="005A7BB0"/>
    <w:rsid w:val="005B036B"/>
    <w:rsid w:val="005B0E1F"/>
    <w:rsid w:val="005B181C"/>
    <w:rsid w:val="005B2226"/>
    <w:rsid w:val="005B2E7A"/>
    <w:rsid w:val="005B326D"/>
    <w:rsid w:val="005B34A0"/>
    <w:rsid w:val="005B3A06"/>
    <w:rsid w:val="005B3B8F"/>
    <w:rsid w:val="005B3DED"/>
    <w:rsid w:val="005B46DC"/>
    <w:rsid w:val="005B4A22"/>
    <w:rsid w:val="005B4FFC"/>
    <w:rsid w:val="005B502C"/>
    <w:rsid w:val="005B52D5"/>
    <w:rsid w:val="005B5307"/>
    <w:rsid w:val="005B5632"/>
    <w:rsid w:val="005B5E2D"/>
    <w:rsid w:val="005B6499"/>
    <w:rsid w:val="005B6AE8"/>
    <w:rsid w:val="005B6AE9"/>
    <w:rsid w:val="005B6D45"/>
    <w:rsid w:val="005B6D5B"/>
    <w:rsid w:val="005B77D6"/>
    <w:rsid w:val="005B7D6D"/>
    <w:rsid w:val="005B7EE2"/>
    <w:rsid w:val="005C031C"/>
    <w:rsid w:val="005C0B8C"/>
    <w:rsid w:val="005C0BE6"/>
    <w:rsid w:val="005C114D"/>
    <w:rsid w:val="005C11E2"/>
    <w:rsid w:val="005C165E"/>
    <w:rsid w:val="005C1845"/>
    <w:rsid w:val="005C2109"/>
    <w:rsid w:val="005C2346"/>
    <w:rsid w:val="005C30F4"/>
    <w:rsid w:val="005C3369"/>
    <w:rsid w:val="005C3500"/>
    <w:rsid w:val="005C36EC"/>
    <w:rsid w:val="005C4216"/>
    <w:rsid w:val="005C54FB"/>
    <w:rsid w:val="005C5721"/>
    <w:rsid w:val="005C5C07"/>
    <w:rsid w:val="005C5DCD"/>
    <w:rsid w:val="005C629D"/>
    <w:rsid w:val="005C662E"/>
    <w:rsid w:val="005C75FA"/>
    <w:rsid w:val="005C7B9D"/>
    <w:rsid w:val="005C7DC7"/>
    <w:rsid w:val="005D0098"/>
    <w:rsid w:val="005D03C1"/>
    <w:rsid w:val="005D0A5C"/>
    <w:rsid w:val="005D0D78"/>
    <w:rsid w:val="005D121B"/>
    <w:rsid w:val="005D14C4"/>
    <w:rsid w:val="005D1549"/>
    <w:rsid w:val="005D18BA"/>
    <w:rsid w:val="005D1A3F"/>
    <w:rsid w:val="005D1A52"/>
    <w:rsid w:val="005D1F26"/>
    <w:rsid w:val="005D1F69"/>
    <w:rsid w:val="005D2291"/>
    <w:rsid w:val="005D254A"/>
    <w:rsid w:val="005D3065"/>
    <w:rsid w:val="005D3C95"/>
    <w:rsid w:val="005D3F7B"/>
    <w:rsid w:val="005D3F96"/>
    <w:rsid w:val="005D413F"/>
    <w:rsid w:val="005D583B"/>
    <w:rsid w:val="005D5929"/>
    <w:rsid w:val="005D60D1"/>
    <w:rsid w:val="005D64CD"/>
    <w:rsid w:val="005D64CF"/>
    <w:rsid w:val="005D6515"/>
    <w:rsid w:val="005D65AA"/>
    <w:rsid w:val="005D6BDB"/>
    <w:rsid w:val="005E0042"/>
    <w:rsid w:val="005E0214"/>
    <w:rsid w:val="005E0AED"/>
    <w:rsid w:val="005E12F1"/>
    <w:rsid w:val="005E1861"/>
    <w:rsid w:val="005E2075"/>
    <w:rsid w:val="005E2390"/>
    <w:rsid w:val="005E2C25"/>
    <w:rsid w:val="005E2DDC"/>
    <w:rsid w:val="005E34D5"/>
    <w:rsid w:val="005E3BDD"/>
    <w:rsid w:val="005E3DB9"/>
    <w:rsid w:val="005E4237"/>
    <w:rsid w:val="005E4716"/>
    <w:rsid w:val="005E4931"/>
    <w:rsid w:val="005E4DFB"/>
    <w:rsid w:val="005E5367"/>
    <w:rsid w:val="005E556A"/>
    <w:rsid w:val="005E5B64"/>
    <w:rsid w:val="005E6355"/>
    <w:rsid w:val="005E65D9"/>
    <w:rsid w:val="005E66CC"/>
    <w:rsid w:val="005E6846"/>
    <w:rsid w:val="005E6992"/>
    <w:rsid w:val="005E6BEB"/>
    <w:rsid w:val="005E6F58"/>
    <w:rsid w:val="005E7070"/>
    <w:rsid w:val="005E7EEF"/>
    <w:rsid w:val="005F00C3"/>
    <w:rsid w:val="005F083A"/>
    <w:rsid w:val="005F0A31"/>
    <w:rsid w:val="005F13FA"/>
    <w:rsid w:val="005F1403"/>
    <w:rsid w:val="005F1EFE"/>
    <w:rsid w:val="005F207C"/>
    <w:rsid w:val="005F210F"/>
    <w:rsid w:val="005F23EF"/>
    <w:rsid w:val="005F3204"/>
    <w:rsid w:val="005F3268"/>
    <w:rsid w:val="005F363B"/>
    <w:rsid w:val="005F3BE3"/>
    <w:rsid w:val="005F3D93"/>
    <w:rsid w:val="005F3F20"/>
    <w:rsid w:val="005F5333"/>
    <w:rsid w:val="005F57EC"/>
    <w:rsid w:val="005F6368"/>
    <w:rsid w:val="005F7169"/>
    <w:rsid w:val="005F72A6"/>
    <w:rsid w:val="006002B7"/>
    <w:rsid w:val="00600ABA"/>
    <w:rsid w:val="006013AE"/>
    <w:rsid w:val="0060265D"/>
    <w:rsid w:val="0060318E"/>
    <w:rsid w:val="00603252"/>
    <w:rsid w:val="00603C81"/>
    <w:rsid w:val="006041C2"/>
    <w:rsid w:val="00604341"/>
    <w:rsid w:val="006045B0"/>
    <w:rsid w:val="00604E48"/>
    <w:rsid w:val="00605B54"/>
    <w:rsid w:val="00605EF4"/>
    <w:rsid w:val="00606A23"/>
    <w:rsid w:val="006074DF"/>
    <w:rsid w:val="00607C0D"/>
    <w:rsid w:val="00607E17"/>
    <w:rsid w:val="00607FE2"/>
    <w:rsid w:val="0061063A"/>
    <w:rsid w:val="00610818"/>
    <w:rsid w:val="00610DC3"/>
    <w:rsid w:val="00611A2C"/>
    <w:rsid w:val="00611E19"/>
    <w:rsid w:val="00612047"/>
    <w:rsid w:val="00612DA8"/>
    <w:rsid w:val="00613482"/>
    <w:rsid w:val="00613539"/>
    <w:rsid w:val="0061387D"/>
    <w:rsid w:val="006139E0"/>
    <w:rsid w:val="00613CAA"/>
    <w:rsid w:val="00613DCC"/>
    <w:rsid w:val="006144DD"/>
    <w:rsid w:val="00614667"/>
    <w:rsid w:val="006150E8"/>
    <w:rsid w:val="00615271"/>
    <w:rsid w:val="006153CA"/>
    <w:rsid w:val="006164B4"/>
    <w:rsid w:val="00616BAD"/>
    <w:rsid w:val="00616BFE"/>
    <w:rsid w:val="00616CDF"/>
    <w:rsid w:val="00616DEE"/>
    <w:rsid w:val="00617088"/>
    <w:rsid w:val="00617C54"/>
    <w:rsid w:val="00617DB3"/>
    <w:rsid w:val="00620409"/>
    <w:rsid w:val="006205C1"/>
    <w:rsid w:val="006206AA"/>
    <w:rsid w:val="00620A5E"/>
    <w:rsid w:val="00620BB4"/>
    <w:rsid w:val="00620C17"/>
    <w:rsid w:val="006210E1"/>
    <w:rsid w:val="00621793"/>
    <w:rsid w:val="006217B7"/>
    <w:rsid w:val="00621831"/>
    <w:rsid w:val="00621C2E"/>
    <w:rsid w:val="00621E97"/>
    <w:rsid w:val="00622B71"/>
    <w:rsid w:val="0062501E"/>
    <w:rsid w:val="00625596"/>
    <w:rsid w:val="00625A00"/>
    <w:rsid w:val="00625B5B"/>
    <w:rsid w:val="00625D3B"/>
    <w:rsid w:val="00626AE8"/>
    <w:rsid w:val="00626F10"/>
    <w:rsid w:val="0062720B"/>
    <w:rsid w:val="006275A8"/>
    <w:rsid w:val="00627814"/>
    <w:rsid w:val="00627AE3"/>
    <w:rsid w:val="00627F76"/>
    <w:rsid w:val="00630731"/>
    <w:rsid w:val="006313DF"/>
    <w:rsid w:val="006316A9"/>
    <w:rsid w:val="006317F3"/>
    <w:rsid w:val="00631E0E"/>
    <w:rsid w:val="00631EE9"/>
    <w:rsid w:val="00632771"/>
    <w:rsid w:val="006327C8"/>
    <w:rsid w:val="00632B8B"/>
    <w:rsid w:val="00632F5A"/>
    <w:rsid w:val="0063361E"/>
    <w:rsid w:val="00633A24"/>
    <w:rsid w:val="00633CCD"/>
    <w:rsid w:val="00633D66"/>
    <w:rsid w:val="00633E64"/>
    <w:rsid w:val="00633EE4"/>
    <w:rsid w:val="00634C58"/>
    <w:rsid w:val="00634CBC"/>
    <w:rsid w:val="00634EB6"/>
    <w:rsid w:val="00634F91"/>
    <w:rsid w:val="00634FE2"/>
    <w:rsid w:val="0063522B"/>
    <w:rsid w:val="006353D2"/>
    <w:rsid w:val="006354BA"/>
    <w:rsid w:val="00635936"/>
    <w:rsid w:val="00635974"/>
    <w:rsid w:val="00635F38"/>
    <w:rsid w:val="0063629D"/>
    <w:rsid w:val="006365CA"/>
    <w:rsid w:val="00636978"/>
    <w:rsid w:val="006369A0"/>
    <w:rsid w:val="00636DCA"/>
    <w:rsid w:val="00636DDF"/>
    <w:rsid w:val="00636F6D"/>
    <w:rsid w:val="00637207"/>
    <w:rsid w:val="0063720C"/>
    <w:rsid w:val="0063769A"/>
    <w:rsid w:val="006379FE"/>
    <w:rsid w:val="00637D1D"/>
    <w:rsid w:val="00637DCB"/>
    <w:rsid w:val="00640365"/>
    <w:rsid w:val="006408E8"/>
    <w:rsid w:val="00640D0F"/>
    <w:rsid w:val="00641372"/>
    <w:rsid w:val="0064177E"/>
    <w:rsid w:val="00641EF0"/>
    <w:rsid w:val="00642E31"/>
    <w:rsid w:val="00643732"/>
    <w:rsid w:val="00643B50"/>
    <w:rsid w:val="00644429"/>
    <w:rsid w:val="006448DB"/>
    <w:rsid w:val="00644ED0"/>
    <w:rsid w:val="00644FCF"/>
    <w:rsid w:val="006454DA"/>
    <w:rsid w:val="006458CB"/>
    <w:rsid w:val="00645EFF"/>
    <w:rsid w:val="00646C32"/>
    <w:rsid w:val="00646F2B"/>
    <w:rsid w:val="00647F10"/>
    <w:rsid w:val="006503B3"/>
    <w:rsid w:val="00650551"/>
    <w:rsid w:val="00650560"/>
    <w:rsid w:val="0065102A"/>
    <w:rsid w:val="006516E7"/>
    <w:rsid w:val="00651E97"/>
    <w:rsid w:val="0065367D"/>
    <w:rsid w:val="006537EE"/>
    <w:rsid w:val="00653803"/>
    <w:rsid w:val="006539FE"/>
    <w:rsid w:val="00654413"/>
    <w:rsid w:val="00654924"/>
    <w:rsid w:val="00654E4C"/>
    <w:rsid w:val="00654E53"/>
    <w:rsid w:val="0065581D"/>
    <w:rsid w:val="00656123"/>
    <w:rsid w:val="006561E6"/>
    <w:rsid w:val="00656662"/>
    <w:rsid w:val="0065677A"/>
    <w:rsid w:val="00656C1C"/>
    <w:rsid w:val="00656E0B"/>
    <w:rsid w:val="00656E19"/>
    <w:rsid w:val="00657A88"/>
    <w:rsid w:val="00657B84"/>
    <w:rsid w:val="00657C35"/>
    <w:rsid w:val="00660832"/>
    <w:rsid w:val="00661DDA"/>
    <w:rsid w:val="00663669"/>
    <w:rsid w:val="00663697"/>
    <w:rsid w:val="0066390F"/>
    <w:rsid w:val="00663FE8"/>
    <w:rsid w:val="006640CA"/>
    <w:rsid w:val="006644A0"/>
    <w:rsid w:val="006644D9"/>
    <w:rsid w:val="00664834"/>
    <w:rsid w:val="006649B3"/>
    <w:rsid w:val="006649C8"/>
    <w:rsid w:val="00664AFE"/>
    <w:rsid w:val="0066544B"/>
    <w:rsid w:val="006665C3"/>
    <w:rsid w:val="00666C40"/>
    <w:rsid w:val="00666C74"/>
    <w:rsid w:val="00666D6D"/>
    <w:rsid w:val="00666FE2"/>
    <w:rsid w:val="006679C6"/>
    <w:rsid w:val="00667C3B"/>
    <w:rsid w:val="00667DD0"/>
    <w:rsid w:val="006708A2"/>
    <w:rsid w:val="006709BF"/>
    <w:rsid w:val="0067191D"/>
    <w:rsid w:val="006719E1"/>
    <w:rsid w:val="00671D32"/>
    <w:rsid w:val="006720C6"/>
    <w:rsid w:val="00672158"/>
    <w:rsid w:val="00672C3B"/>
    <w:rsid w:val="00673B19"/>
    <w:rsid w:val="00675116"/>
    <w:rsid w:val="0067570E"/>
    <w:rsid w:val="00675F09"/>
    <w:rsid w:val="00676555"/>
    <w:rsid w:val="006765EB"/>
    <w:rsid w:val="00676DC6"/>
    <w:rsid w:val="00677558"/>
    <w:rsid w:val="006776A4"/>
    <w:rsid w:val="00677BB4"/>
    <w:rsid w:val="00677CA6"/>
    <w:rsid w:val="00677D3F"/>
    <w:rsid w:val="00680290"/>
    <w:rsid w:val="00680442"/>
    <w:rsid w:val="00680588"/>
    <w:rsid w:val="00680A4A"/>
    <w:rsid w:val="00680B5B"/>
    <w:rsid w:val="00680EAA"/>
    <w:rsid w:val="00681700"/>
    <w:rsid w:val="00681DC0"/>
    <w:rsid w:val="00681F7C"/>
    <w:rsid w:val="00682D4E"/>
    <w:rsid w:val="0068308D"/>
    <w:rsid w:val="00683585"/>
    <w:rsid w:val="00683739"/>
    <w:rsid w:val="00683878"/>
    <w:rsid w:val="0068388A"/>
    <w:rsid w:val="00683BCA"/>
    <w:rsid w:val="0068427B"/>
    <w:rsid w:val="006843BE"/>
    <w:rsid w:val="00684915"/>
    <w:rsid w:val="00684B17"/>
    <w:rsid w:val="00684F92"/>
    <w:rsid w:val="006851D6"/>
    <w:rsid w:val="006853B0"/>
    <w:rsid w:val="00685A3B"/>
    <w:rsid w:val="00685A43"/>
    <w:rsid w:val="00685C37"/>
    <w:rsid w:val="00685DAD"/>
    <w:rsid w:val="0068618A"/>
    <w:rsid w:val="006866AC"/>
    <w:rsid w:val="006868AE"/>
    <w:rsid w:val="00686A51"/>
    <w:rsid w:val="00686DCD"/>
    <w:rsid w:val="0068721A"/>
    <w:rsid w:val="00687733"/>
    <w:rsid w:val="00687A81"/>
    <w:rsid w:val="00687C44"/>
    <w:rsid w:val="006903CD"/>
    <w:rsid w:val="006906FB"/>
    <w:rsid w:val="00690AA6"/>
    <w:rsid w:val="00690B42"/>
    <w:rsid w:val="00691787"/>
    <w:rsid w:val="00691CBF"/>
    <w:rsid w:val="006923C0"/>
    <w:rsid w:val="00692C54"/>
    <w:rsid w:val="00692FC4"/>
    <w:rsid w:val="006933B5"/>
    <w:rsid w:val="006936D9"/>
    <w:rsid w:val="0069381F"/>
    <w:rsid w:val="006945D7"/>
    <w:rsid w:val="0069468A"/>
    <w:rsid w:val="0069487E"/>
    <w:rsid w:val="00694CA8"/>
    <w:rsid w:val="00694E96"/>
    <w:rsid w:val="006952E8"/>
    <w:rsid w:val="00695D77"/>
    <w:rsid w:val="00696936"/>
    <w:rsid w:val="00696D4F"/>
    <w:rsid w:val="00697D3F"/>
    <w:rsid w:val="006A01FA"/>
    <w:rsid w:val="006A043F"/>
    <w:rsid w:val="006A0F6A"/>
    <w:rsid w:val="006A1191"/>
    <w:rsid w:val="006A170E"/>
    <w:rsid w:val="006A189E"/>
    <w:rsid w:val="006A1F72"/>
    <w:rsid w:val="006A220F"/>
    <w:rsid w:val="006A239F"/>
    <w:rsid w:val="006A29C7"/>
    <w:rsid w:val="006A37D1"/>
    <w:rsid w:val="006A388E"/>
    <w:rsid w:val="006A3E6B"/>
    <w:rsid w:val="006A40F7"/>
    <w:rsid w:val="006A51C5"/>
    <w:rsid w:val="006A51ED"/>
    <w:rsid w:val="006A53DF"/>
    <w:rsid w:val="006A5E9B"/>
    <w:rsid w:val="006A6657"/>
    <w:rsid w:val="006A6FE3"/>
    <w:rsid w:val="006A7030"/>
    <w:rsid w:val="006A7830"/>
    <w:rsid w:val="006A78F0"/>
    <w:rsid w:val="006B1242"/>
    <w:rsid w:val="006B23C5"/>
    <w:rsid w:val="006B28B6"/>
    <w:rsid w:val="006B2A11"/>
    <w:rsid w:val="006B30D2"/>
    <w:rsid w:val="006B31CC"/>
    <w:rsid w:val="006B346B"/>
    <w:rsid w:val="006B3596"/>
    <w:rsid w:val="006B3647"/>
    <w:rsid w:val="006B3A4B"/>
    <w:rsid w:val="006B3F63"/>
    <w:rsid w:val="006B4535"/>
    <w:rsid w:val="006B463E"/>
    <w:rsid w:val="006B4738"/>
    <w:rsid w:val="006B5016"/>
    <w:rsid w:val="006B5F39"/>
    <w:rsid w:val="006B5FE9"/>
    <w:rsid w:val="006B65C4"/>
    <w:rsid w:val="006B684A"/>
    <w:rsid w:val="006B6A1D"/>
    <w:rsid w:val="006B6DFD"/>
    <w:rsid w:val="006B79BA"/>
    <w:rsid w:val="006C01AF"/>
    <w:rsid w:val="006C02B9"/>
    <w:rsid w:val="006C052C"/>
    <w:rsid w:val="006C0AB4"/>
    <w:rsid w:val="006C0B64"/>
    <w:rsid w:val="006C0CC4"/>
    <w:rsid w:val="006C13A5"/>
    <w:rsid w:val="006C2829"/>
    <w:rsid w:val="006C2C1D"/>
    <w:rsid w:val="006C2C23"/>
    <w:rsid w:val="006C2F3B"/>
    <w:rsid w:val="006C419F"/>
    <w:rsid w:val="006C4266"/>
    <w:rsid w:val="006C48C1"/>
    <w:rsid w:val="006C4E9F"/>
    <w:rsid w:val="006C55A4"/>
    <w:rsid w:val="006C5FB6"/>
    <w:rsid w:val="006C636A"/>
    <w:rsid w:val="006C6F3D"/>
    <w:rsid w:val="006C724B"/>
    <w:rsid w:val="006C7543"/>
    <w:rsid w:val="006C7E18"/>
    <w:rsid w:val="006C7EBE"/>
    <w:rsid w:val="006D0BC8"/>
    <w:rsid w:val="006D142B"/>
    <w:rsid w:val="006D159E"/>
    <w:rsid w:val="006D2354"/>
    <w:rsid w:val="006D24AE"/>
    <w:rsid w:val="006D2CE3"/>
    <w:rsid w:val="006D2E81"/>
    <w:rsid w:val="006D3432"/>
    <w:rsid w:val="006D38EC"/>
    <w:rsid w:val="006D3E82"/>
    <w:rsid w:val="006D495C"/>
    <w:rsid w:val="006D5467"/>
    <w:rsid w:val="006D56FE"/>
    <w:rsid w:val="006D58F4"/>
    <w:rsid w:val="006D5E65"/>
    <w:rsid w:val="006D6027"/>
    <w:rsid w:val="006D7AC5"/>
    <w:rsid w:val="006D7D2E"/>
    <w:rsid w:val="006E1452"/>
    <w:rsid w:val="006E1CAD"/>
    <w:rsid w:val="006E1FDB"/>
    <w:rsid w:val="006E2EF7"/>
    <w:rsid w:val="006E3519"/>
    <w:rsid w:val="006E36B8"/>
    <w:rsid w:val="006E38B7"/>
    <w:rsid w:val="006E3C02"/>
    <w:rsid w:val="006E5CC6"/>
    <w:rsid w:val="006E5E18"/>
    <w:rsid w:val="006E62AE"/>
    <w:rsid w:val="006E65C0"/>
    <w:rsid w:val="006E6938"/>
    <w:rsid w:val="006E6A67"/>
    <w:rsid w:val="006E6ADA"/>
    <w:rsid w:val="006E7992"/>
    <w:rsid w:val="006F0154"/>
    <w:rsid w:val="006F04B0"/>
    <w:rsid w:val="006F05FD"/>
    <w:rsid w:val="006F0648"/>
    <w:rsid w:val="006F089E"/>
    <w:rsid w:val="006F0965"/>
    <w:rsid w:val="006F137D"/>
    <w:rsid w:val="006F14B1"/>
    <w:rsid w:val="006F2B8D"/>
    <w:rsid w:val="006F4031"/>
    <w:rsid w:val="006F4704"/>
    <w:rsid w:val="006F4A52"/>
    <w:rsid w:val="006F5FBB"/>
    <w:rsid w:val="006F65DD"/>
    <w:rsid w:val="006F6FF2"/>
    <w:rsid w:val="006F71A3"/>
    <w:rsid w:val="006F73CF"/>
    <w:rsid w:val="006F7A1F"/>
    <w:rsid w:val="006F7AF0"/>
    <w:rsid w:val="0070000D"/>
    <w:rsid w:val="00700111"/>
    <w:rsid w:val="00700BFC"/>
    <w:rsid w:val="00700E11"/>
    <w:rsid w:val="00700E4B"/>
    <w:rsid w:val="007011FE"/>
    <w:rsid w:val="007016A4"/>
    <w:rsid w:val="00701FF9"/>
    <w:rsid w:val="007022CA"/>
    <w:rsid w:val="00702C7B"/>
    <w:rsid w:val="00702FA6"/>
    <w:rsid w:val="00703DDB"/>
    <w:rsid w:val="00703E3E"/>
    <w:rsid w:val="00703FC0"/>
    <w:rsid w:val="00704084"/>
    <w:rsid w:val="00704468"/>
    <w:rsid w:val="00704BE4"/>
    <w:rsid w:val="00704D01"/>
    <w:rsid w:val="00704D8B"/>
    <w:rsid w:val="007051F8"/>
    <w:rsid w:val="007053C8"/>
    <w:rsid w:val="0070577E"/>
    <w:rsid w:val="00705946"/>
    <w:rsid w:val="00706020"/>
    <w:rsid w:val="00707408"/>
    <w:rsid w:val="0070762C"/>
    <w:rsid w:val="0071018A"/>
    <w:rsid w:val="007103DE"/>
    <w:rsid w:val="00710421"/>
    <w:rsid w:val="00710613"/>
    <w:rsid w:val="00710A87"/>
    <w:rsid w:val="00710A8F"/>
    <w:rsid w:val="00711ED0"/>
    <w:rsid w:val="00712190"/>
    <w:rsid w:val="00712335"/>
    <w:rsid w:val="007123EE"/>
    <w:rsid w:val="007129E6"/>
    <w:rsid w:val="00712E5F"/>
    <w:rsid w:val="00713162"/>
    <w:rsid w:val="007133C6"/>
    <w:rsid w:val="00713DBF"/>
    <w:rsid w:val="00714219"/>
    <w:rsid w:val="00714C9D"/>
    <w:rsid w:val="007153D4"/>
    <w:rsid w:val="00715C30"/>
    <w:rsid w:val="007160CB"/>
    <w:rsid w:val="00716CA4"/>
    <w:rsid w:val="00717282"/>
    <w:rsid w:val="00717604"/>
    <w:rsid w:val="007209D8"/>
    <w:rsid w:val="00720BCA"/>
    <w:rsid w:val="00721C16"/>
    <w:rsid w:val="00721DE0"/>
    <w:rsid w:val="0072248D"/>
    <w:rsid w:val="0072256E"/>
    <w:rsid w:val="007226B7"/>
    <w:rsid w:val="00723B90"/>
    <w:rsid w:val="00723C3E"/>
    <w:rsid w:val="00723D2A"/>
    <w:rsid w:val="007242CC"/>
    <w:rsid w:val="00724482"/>
    <w:rsid w:val="0072482D"/>
    <w:rsid w:val="00724B5B"/>
    <w:rsid w:val="00724EDB"/>
    <w:rsid w:val="0072540C"/>
    <w:rsid w:val="0072555E"/>
    <w:rsid w:val="0072561F"/>
    <w:rsid w:val="0072612B"/>
    <w:rsid w:val="00726343"/>
    <w:rsid w:val="0072641D"/>
    <w:rsid w:val="00726968"/>
    <w:rsid w:val="00726E33"/>
    <w:rsid w:val="007273F2"/>
    <w:rsid w:val="00727AA5"/>
    <w:rsid w:val="00727D64"/>
    <w:rsid w:val="00730599"/>
    <w:rsid w:val="00731FA0"/>
    <w:rsid w:val="007321E6"/>
    <w:rsid w:val="00732396"/>
    <w:rsid w:val="0073265A"/>
    <w:rsid w:val="00732E01"/>
    <w:rsid w:val="00732F71"/>
    <w:rsid w:val="007334F0"/>
    <w:rsid w:val="0073374A"/>
    <w:rsid w:val="00733F9E"/>
    <w:rsid w:val="0073416F"/>
    <w:rsid w:val="007342B9"/>
    <w:rsid w:val="007343F7"/>
    <w:rsid w:val="00734944"/>
    <w:rsid w:val="00734B29"/>
    <w:rsid w:val="007353AF"/>
    <w:rsid w:val="007353DE"/>
    <w:rsid w:val="00735B7A"/>
    <w:rsid w:val="00735E82"/>
    <w:rsid w:val="00736BFF"/>
    <w:rsid w:val="00736DD0"/>
    <w:rsid w:val="00737A08"/>
    <w:rsid w:val="0074007D"/>
    <w:rsid w:val="0074090E"/>
    <w:rsid w:val="00740F25"/>
    <w:rsid w:val="007423FC"/>
    <w:rsid w:val="00742D1F"/>
    <w:rsid w:val="00742F73"/>
    <w:rsid w:val="0074366F"/>
    <w:rsid w:val="0074462B"/>
    <w:rsid w:val="007459C3"/>
    <w:rsid w:val="00745DF1"/>
    <w:rsid w:val="007465E5"/>
    <w:rsid w:val="00746943"/>
    <w:rsid w:val="00746B40"/>
    <w:rsid w:val="00747078"/>
    <w:rsid w:val="007470DC"/>
    <w:rsid w:val="00747158"/>
    <w:rsid w:val="00747360"/>
    <w:rsid w:val="00747469"/>
    <w:rsid w:val="00747529"/>
    <w:rsid w:val="0074772B"/>
    <w:rsid w:val="00747B26"/>
    <w:rsid w:val="00747BB2"/>
    <w:rsid w:val="00747F38"/>
    <w:rsid w:val="00750CB8"/>
    <w:rsid w:val="00751056"/>
    <w:rsid w:val="007519B7"/>
    <w:rsid w:val="00751FA7"/>
    <w:rsid w:val="00753189"/>
    <w:rsid w:val="007535D5"/>
    <w:rsid w:val="0075363C"/>
    <w:rsid w:val="00753895"/>
    <w:rsid w:val="0075392A"/>
    <w:rsid w:val="00753D22"/>
    <w:rsid w:val="00753E66"/>
    <w:rsid w:val="007541E2"/>
    <w:rsid w:val="007545A7"/>
    <w:rsid w:val="00754747"/>
    <w:rsid w:val="00754BB9"/>
    <w:rsid w:val="00755039"/>
    <w:rsid w:val="00755A68"/>
    <w:rsid w:val="00755DE2"/>
    <w:rsid w:val="0075631E"/>
    <w:rsid w:val="00757745"/>
    <w:rsid w:val="00757BB3"/>
    <w:rsid w:val="00757E8C"/>
    <w:rsid w:val="00757FC6"/>
    <w:rsid w:val="007605D3"/>
    <w:rsid w:val="007607EC"/>
    <w:rsid w:val="00761CF0"/>
    <w:rsid w:val="0076219D"/>
    <w:rsid w:val="0076228D"/>
    <w:rsid w:val="0076254D"/>
    <w:rsid w:val="0076265F"/>
    <w:rsid w:val="0076275B"/>
    <w:rsid w:val="0076287E"/>
    <w:rsid w:val="0076300B"/>
    <w:rsid w:val="00763208"/>
    <w:rsid w:val="00763951"/>
    <w:rsid w:val="00763C89"/>
    <w:rsid w:val="00763E19"/>
    <w:rsid w:val="00764446"/>
    <w:rsid w:val="007645FE"/>
    <w:rsid w:val="00764E89"/>
    <w:rsid w:val="00766B39"/>
    <w:rsid w:val="00766F1B"/>
    <w:rsid w:val="007670ED"/>
    <w:rsid w:val="007672DB"/>
    <w:rsid w:val="00770807"/>
    <w:rsid w:val="00770871"/>
    <w:rsid w:val="0077088A"/>
    <w:rsid w:val="007708E2"/>
    <w:rsid w:val="007709F7"/>
    <w:rsid w:val="00770EDE"/>
    <w:rsid w:val="00771295"/>
    <w:rsid w:val="00771385"/>
    <w:rsid w:val="007718DF"/>
    <w:rsid w:val="007719F6"/>
    <w:rsid w:val="00772384"/>
    <w:rsid w:val="00772C29"/>
    <w:rsid w:val="00773785"/>
    <w:rsid w:val="00774E31"/>
    <w:rsid w:val="0077523E"/>
    <w:rsid w:val="00776507"/>
    <w:rsid w:val="0077685F"/>
    <w:rsid w:val="0077693F"/>
    <w:rsid w:val="00776A4F"/>
    <w:rsid w:val="00776A78"/>
    <w:rsid w:val="00776CD9"/>
    <w:rsid w:val="00776D2F"/>
    <w:rsid w:val="0078056D"/>
    <w:rsid w:val="00780B6B"/>
    <w:rsid w:val="007813B0"/>
    <w:rsid w:val="0078193A"/>
    <w:rsid w:val="00781EA1"/>
    <w:rsid w:val="00782066"/>
    <w:rsid w:val="00782576"/>
    <w:rsid w:val="00782839"/>
    <w:rsid w:val="007830F1"/>
    <w:rsid w:val="00783236"/>
    <w:rsid w:val="007837FC"/>
    <w:rsid w:val="00783E32"/>
    <w:rsid w:val="007852FD"/>
    <w:rsid w:val="00785B17"/>
    <w:rsid w:val="00786C50"/>
    <w:rsid w:val="00787141"/>
    <w:rsid w:val="007872EA"/>
    <w:rsid w:val="007873FB"/>
    <w:rsid w:val="0078764F"/>
    <w:rsid w:val="00787757"/>
    <w:rsid w:val="00787A0B"/>
    <w:rsid w:val="00787B6A"/>
    <w:rsid w:val="00787F13"/>
    <w:rsid w:val="007900B4"/>
    <w:rsid w:val="00790FDF"/>
    <w:rsid w:val="0079140D"/>
    <w:rsid w:val="00791554"/>
    <w:rsid w:val="00791DB4"/>
    <w:rsid w:val="007920FA"/>
    <w:rsid w:val="0079278A"/>
    <w:rsid w:val="00792A16"/>
    <w:rsid w:val="00792FD3"/>
    <w:rsid w:val="007941F6"/>
    <w:rsid w:val="00794275"/>
    <w:rsid w:val="007944F8"/>
    <w:rsid w:val="00794E86"/>
    <w:rsid w:val="00794FB1"/>
    <w:rsid w:val="007951BB"/>
    <w:rsid w:val="00795B41"/>
    <w:rsid w:val="00795CA8"/>
    <w:rsid w:val="007964C8"/>
    <w:rsid w:val="007972F7"/>
    <w:rsid w:val="007976FB"/>
    <w:rsid w:val="00797856"/>
    <w:rsid w:val="00797985"/>
    <w:rsid w:val="007A0096"/>
    <w:rsid w:val="007A03C6"/>
    <w:rsid w:val="007A050B"/>
    <w:rsid w:val="007A0811"/>
    <w:rsid w:val="007A0835"/>
    <w:rsid w:val="007A08EA"/>
    <w:rsid w:val="007A0DD9"/>
    <w:rsid w:val="007A0EF9"/>
    <w:rsid w:val="007A1A85"/>
    <w:rsid w:val="007A2376"/>
    <w:rsid w:val="007A2DEC"/>
    <w:rsid w:val="007A3455"/>
    <w:rsid w:val="007A3A62"/>
    <w:rsid w:val="007A3D68"/>
    <w:rsid w:val="007A3E8B"/>
    <w:rsid w:val="007A3FCC"/>
    <w:rsid w:val="007A403B"/>
    <w:rsid w:val="007A434F"/>
    <w:rsid w:val="007A4581"/>
    <w:rsid w:val="007A5112"/>
    <w:rsid w:val="007A5285"/>
    <w:rsid w:val="007A5AEA"/>
    <w:rsid w:val="007A5E14"/>
    <w:rsid w:val="007A7295"/>
    <w:rsid w:val="007A73EE"/>
    <w:rsid w:val="007A7BD3"/>
    <w:rsid w:val="007A7C4F"/>
    <w:rsid w:val="007A7CD0"/>
    <w:rsid w:val="007A7FF9"/>
    <w:rsid w:val="007B0B37"/>
    <w:rsid w:val="007B1224"/>
    <w:rsid w:val="007B1506"/>
    <w:rsid w:val="007B1A8B"/>
    <w:rsid w:val="007B1CC6"/>
    <w:rsid w:val="007B281A"/>
    <w:rsid w:val="007B2EBE"/>
    <w:rsid w:val="007B2EF5"/>
    <w:rsid w:val="007B335B"/>
    <w:rsid w:val="007B3F95"/>
    <w:rsid w:val="007B3FC5"/>
    <w:rsid w:val="007B475D"/>
    <w:rsid w:val="007B48A2"/>
    <w:rsid w:val="007B4BE4"/>
    <w:rsid w:val="007B4D0A"/>
    <w:rsid w:val="007B51FC"/>
    <w:rsid w:val="007B5781"/>
    <w:rsid w:val="007B5ECE"/>
    <w:rsid w:val="007B621E"/>
    <w:rsid w:val="007B6468"/>
    <w:rsid w:val="007B7F5E"/>
    <w:rsid w:val="007C042F"/>
    <w:rsid w:val="007C0716"/>
    <w:rsid w:val="007C0BFE"/>
    <w:rsid w:val="007C0D41"/>
    <w:rsid w:val="007C1766"/>
    <w:rsid w:val="007C2C22"/>
    <w:rsid w:val="007C2EA4"/>
    <w:rsid w:val="007C2F63"/>
    <w:rsid w:val="007C2FBB"/>
    <w:rsid w:val="007C3890"/>
    <w:rsid w:val="007C3C18"/>
    <w:rsid w:val="007C3E95"/>
    <w:rsid w:val="007C42FC"/>
    <w:rsid w:val="007C4B81"/>
    <w:rsid w:val="007C4EA8"/>
    <w:rsid w:val="007C5A53"/>
    <w:rsid w:val="007C5B93"/>
    <w:rsid w:val="007C6174"/>
    <w:rsid w:val="007C6279"/>
    <w:rsid w:val="007C6DDA"/>
    <w:rsid w:val="007C6ED6"/>
    <w:rsid w:val="007C71A9"/>
    <w:rsid w:val="007D0A36"/>
    <w:rsid w:val="007D1100"/>
    <w:rsid w:val="007D139C"/>
    <w:rsid w:val="007D1C01"/>
    <w:rsid w:val="007D2420"/>
    <w:rsid w:val="007D2E5C"/>
    <w:rsid w:val="007D32B2"/>
    <w:rsid w:val="007D42F1"/>
    <w:rsid w:val="007D4CE2"/>
    <w:rsid w:val="007D507D"/>
    <w:rsid w:val="007D558A"/>
    <w:rsid w:val="007D55DD"/>
    <w:rsid w:val="007D5705"/>
    <w:rsid w:val="007D5BF4"/>
    <w:rsid w:val="007D5D05"/>
    <w:rsid w:val="007D5DEE"/>
    <w:rsid w:val="007D60B7"/>
    <w:rsid w:val="007D630C"/>
    <w:rsid w:val="007D688F"/>
    <w:rsid w:val="007D6DD3"/>
    <w:rsid w:val="007D70D2"/>
    <w:rsid w:val="007D78A9"/>
    <w:rsid w:val="007D79F3"/>
    <w:rsid w:val="007D7F05"/>
    <w:rsid w:val="007E0475"/>
    <w:rsid w:val="007E0507"/>
    <w:rsid w:val="007E0590"/>
    <w:rsid w:val="007E1045"/>
    <w:rsid w:val="007E25EF"/>
    <w:rsid w:val="007E2B1B"/>
    <w:rsid w:val="007E374F"/>
    <w:rsid w:val="007E4093"/>
    <w:rsid w:val="007E4207"/>
    <w:rsid w:val="007E4457"/>
    <w:rsid w:val="007E4721"/>
    <w:rsid w:val="007E4D4D"/>
    <w:rsid w:val="007E4F51"/>
    <w:rsid w:val="007E51EC"/>
    <w:rsid w:val="007E54C9"/>
    <w:rsid w:val="007E5A1C"/>
    <w:rsid w:val="007E60FD"/>
    <w:rsid w:val="007E6AB2"/>
    <w:rsid w:val="007E6D82"/>
    <w:rsid w:val="007E7005"/>
    <w:rsid w:val="007E73EB"/>
    <w:rsid w:val="007F00E8"/>
    <w:rsid w:val="007F07D6"/>
    <w:rsid w:val="007F1524"/>
    <w:rsid w:val="007F1609"/>
    <w:rsid w:val="007F2867"/>
    <w:rsid w:val="007F3649"/>
    <w:rsid w:val="007F37DF"/>
    <w:rsid w:val="007F39DB"/>
    <w:rsid w:val="007F4301"/>
    <w:rsid w:val="007F43FB"/>
    <w:rsid w:val="007F45A3"/>
    <w:rsid w:val="007F45D7"/>
    <w:rsid w:val="007F4CDD"/>
    <w:rsid w:val="007F53B0"/>
    <w:rsid w:val="007F58F6"/>
    <w:rsid w:val="007F595D"/>
    <w:rsid w:val="007F5971"/>
    <w:rsid w:val="007F6A08"/>
    <w:rsid w:val="007F6D40"/>
    <w:rsid w:val="0080052B"/>
    <w:rsid w:val="0080062B"/>
    <w:rsid w:val="00800916"/>
    <w:rsid w:val="00800D35"/>
    <w:rsid w:val="00800EBD"/>
    <w:rsid w:val="0080112E"/>
    <w:rsid w:val="00801F98"/>
    <w:rsid w:val="00802671"/>
    <w:rsid w:val="0080299A"/>
    <w:rsid w:val="00802D2C"/>
    <w:rsid w:val="00803966"/>
    <w:rsid w:val="00804117"/>
    <w:rsid w:val="008045C8"/>
    <w:rsid w:val="00804713"/>
    <w:rsid w:val="00804AFA"/>
    <w:rsid w:val="00805102"/>
    <w:rsid w:val="0080512B"/>
    <w:rsid w:val="00805251"/>
    <w:rsid w:val="00805A42"/>
    <w:rsid w:val="00805B95"/>
    <w:rsid w:val="00805F2C"/>
    <w:rsid w:val="008063B5"/>
    <w:rsid w:val="008069EE"/>
    <w:rsid w:val="00806C05"/>
    <w:rsid w:val="008077F4"/>
    <w:rsid w:val="00810A3E"/>
    <w:rsid w:val="00810D56"/>
    <w:rsid w:val="00810F7E"/>
    <w:rsid w:val="0081107D"/>
    <w:rsid w:val="0081113E"/>
    <w:rsid w:val="00811540"/>
    <w:rsid w:val="00811985"/>
    <w:rsid w:val="00811A94"/>
    <w:rsid w:val="00811DA6"/>
    <w:rsid w:val="00811EEE"/>
    <w:rsid w:val="00812882"/>
    <w:rsid w:val="00812896"/>
    <w:rsid w:val="00813653"/>
    <w:rsid w:val="00813C9B"/>
    <w:rsid w:val="00813F33"/>
    <w:rsid w:val="008144B0"/>
    <w:rsid w:val="008157F0"/>
    <w:rsid w:val="00815D46"/>
    <w:rsid w:val="00816443"/>
    <w:rsid w:val="008165D5"/>
    <w:rsid w:val="008173F7"/>
    <w:rsid w:val="008174C1"/>
    <w:rsid w:val="00817D92"/>
    <w:rsid w:val="00817F96"/>
    <w:rsid w:val="00820A98"/>
    <w:rsid w:val="00820F08"/>
    <w:rsid w:val="008210A2"/>
    <w:rsid w:val="008217E4"/>
    <w:rsid w:val="00821FA6"/>
    <w:rsid w:val="0082289E"/>
    <w:rsid w:val="00822DAF"/>
    <w:rsid w:val="00823941"/>
    <w:rsid w:val="00823D04"/>
    <w:rsid w:val="00825585"/>
    <w:rsid w:val="00825F19"/>
    <w:rsid w:val="00826E80"/>
    <w:rsid w:val="0083006D"/>
    <w:rsid w:val="0083037C"/>
    <w:rsid w:val="00830558"/>
    <w:rsid w:val="00830756"/>
    <w:rsid w:val="008308CE"/>
    <w:rsid w:val="00830CB6"/>
    <w:rsid w:val="00830D60"/>
    <w:rsid w:val="00830FB6"/>
    <w:rsid w:val="00831019"/>
    <w:rsid w:val="00831153"/>
    <w:rsid w:val="00831194"/>
    <w:rsid w:val="008313EC"/>
    <w:rsid w:val="00831654"/>
    <w:rsid w:val="008318DF"/>
    <w:rsid w:val="008323E8"/>
    <w:rsid w:val="00832BA2"/>
    <w:rsid w:val="00832BB0"/>
    <w:rsid w:val="00832BFD"/>
    <w:rsid w:val="008332D1"/>
    <w:rsid w:val="0083339B"/>
    <w:rsid w:val="0083357D"/>
    <w:rsid w:val="00833AA9"/>
    <w:rsid w:val="00833E79"/>
    <w:rsid w:val="0083405F"/>
    <w:rsid w:val="008351DA"/>
    <w:rsid w:val="00835824"/>
    <w:rsid w:val="008359F0"/>
    <w:rsid w:val="00836147"/>
    <w:rsid w:val="0083684A"/>
    <w:rsid w:val="008373E1"/>
    <w:rsid w:val="00837694"/>
    <w:rsid w:val="00837BC1"/>
    <w:rsid w:val="008401D1"/>
    <w:rsid w:val="00840527"/>
    <w:rsid w:val="0084062A"/>
    <w:rsid w:val="00840A37"/>
    <w:rsid w:val="00840EA2"/>
    <w:rsid w:val="0084160E"/>
    <w:rsid w:val="00841A76"/>
    <w:rsid w:val="00841AB4"/>
    <w:rsid w:val="00841EE4"/>
    <w:rsid w:val="00842104"/>
    <w:rsid w:val="008424F3"/>
    <w:rsid w:val="00842ABF"/>
    <w:rsid w:val="00842D90"/>
    <w:rsid w:val="00844299"/>
    <w:rsid w:val="008449DE"/>
    <w:rsid w:val="00844ACC"/>
    <w:rsid w:val="00844C53"/>
    <w:rsid w:val="00845043"/>
    <w:rsid w:val="008452D7"/>
    <w:rsid w:val="008454CE"/>
    <w:rsid w:val="008459A6"/>
    <w:rsid w:val="00846132"/>
    <w:rsid w:val="0084613F"/>
    <w:rsid w:val="0084632A"/>
    <w:rsid w:val="00846A81"/>
    <w:rsid w:val="00846F4C"/>
    <w:rsid w:val="008470C1"/>
    <w:rsid w:val="00847429"/>
    <w:rsid w:val="00850888"/>
    <w:rsid w:val="00850F71"/>
    <w:rsid w:val="008516C3"/>
    <w:rsid w:val="00851C1A"/>
    <w:rsid w:val="00851FD1"/>
    <w:rsid w:val="008520F1"/>
    <w:rsid w:val="00852B5F"/>
    <w:rsid w:val="008533DA"/>
    <w:rsid w:val="008534A0"/>
    <w:rsid w:val="008537A0"/>
    <w:rsid w:val="008540B7"/>
    <w:rsid w:val="008541F1"/>
    <w:rsid w:val="008543FA"/>
    <w:rsid w:val="008549F2"/>
    <w:rsid w:val="008552BF"/>
    <w:rsid w:val="00855905"/>
    <w:rsid w:val="0085599A"/>
    <w:rsid w:val="00855A59"/>
    <w:rsid w:val="00855D3C"/>
    <w:rsid w:val="00856456"/>
    <w:rsid w:val="0085660B"/>
    <w:rsid w:val="00856B97"/>
    <w:rsid w:val="00857728"/>
    <w:rsid w:val="00857F1E"/>
    <w:rsid w:val="008611F0"/>
    <w:rsid w:val="00861426"/>
    <w:rsid w:val="008614C7"/>
    <w:rsid w:val="00862169"/>
    <w:rsid w:val="0086238D"/>
    <w:rsid w:val="00862492"/>
    <w:rsid w:val="00862697"/>
    <w:rsid w:val="00863028"/>
    <w:rsid w:val="00863BF6"/>
    <w:rsid w:val="00863D18"/>
    <w:rsid w:val="00863FAC"/>
    <w:rsid w:val="0086438C"/>
    <w:rsid w:val="008645D7"/>
    <w:rsid w:val="0086471C"/>
    <w:rsid w:val="008649A3"/>
    <w:rsid w:val="00864C3C"/>
    <w:rsid w:val="0086513C"/>
    <w:rsid w:val="008651CA"/>
    <w:rsid w:val="00866385"/>
    <w:rsid w:val="0086673A"/>
    <w:rsid w:val="00866E68"/>
    <w:rsid w:val="0086779C"/>
    <w:rsid w:val="008678E0"/>
    <w:rsid w:val="00867EA2"/>
    <w:rsid w:val="0087012F"/>
    <w:rsid w:val="008701CD"/>
    <w:rsid w:val="008702AD"/>
    <w:rsid w:val="00870389"/>
    <w:rsid w:val="00870D40"/>
    <w:rsid w:val="0087178C"/>
    <w:rsid w:val="00871836"/>
    <w:rsid w:val="00871CDF"/>
    <w:rsid w:val="00872442"/>
    <w:rsid w:val="00872F19"/>
    <w:rsid w:val="0087329D"/>
    <w:rsid w:val="00873BA7"/>
    <w:rsid w:val="00874D77"/>
    <w:rsid w:val="00875454"/>
    <w:rsid w:val="00875D7E"/>
    <w:rsid w:val="00875D9E"/>
    <w:rsid w:val="00876404"/>
    <w:rsid w:val="00876DDF"/>
    <w:rsid w:val="00876EB3"/>
    <w:rsid w:val="008775EE"/>
    <w:rsid w:val="00877922"/>
    <w:rsid w:val="00877976"/>
    <w:rsid w:val="00877AC5"/>
    <w:rsid w:val="00880210"/>
    <w:rsid w:val="0088091E"/>
    <w:rsid w:val="00880B28"/>
    <w:rsid w:val="00880B73"/>
    <w:rsid w:val="00880C5F"/>
    <w:rsid w:val="008815B2"/>
    <w:rsid w:val="00881BEC"/>
    <w:rsid w:val="00881DD1"/>
    <w:rsid w:val="00882798"/>
    <w:rsid w:val="00882BE2"/>
    <w:rsid w:val="00882D61"/>
    <w:rsid w:val="008832A0"/>
    <w:rsid w:val="00883898"/>
    <w:rsid w:val="008844E7"/>
    <w:rsid w:val="00884A57"/>
    <w:rsid w:val="00885107"/>
    <w:rsid w:val="00885904"/>
    <w:rsid w:val="00886747"/>
    <w:rsid w:val="00886A28"/>
    <w:rsid w:val="00886B42"/>
    <w:rsid w:val="00886F02"/>
    <w:rsid w:val="00887263"/>
    <w:rsid w:val="008873FA"/>
    <w:rsid w:val="008877CF"/>
    <w:rsid w:val="00891529"/>
    <w:rsid w:val="00891724"/>
    <w:rsid w:val="00891C0C"/>
    <w:rsid w:val="00891DC9"/>
    <w:rsid w:val="0089255C"/>
    <w:rsid w:val="008947BE"/>
    <w:rsid w:val="00894C93"/>
    <w:rsid w:val="00894D31"/>
    <w:rsid w:val="00894D85"/>
    <w:rsid w:val="00896180"/>
    <w:rsid w:val="008961C6"/>
    <w:rsid w:val="008966B3"/>
    <w:rsid w:val="008966DA"/>
    <w:rsid w:val="00896C7D"/>
    <w:rsid w:val="00896C99"/>
    <w:rsid w:val="00897E19"/>
    <w:rsid w:val="00897ED6"/>
    <w:rsid w:val="00897F6A"/>
    <w:rsid w:val="008A003B"/>
    <w:rsid w:val="008A07B6"/>
    <w:rsid w:val="008A0865"/>
    <w:rsid w:val="008A088B"/>
    <w:rsid w:val="008A0F60"/>
    <w:rsid w:val="008A12E6"/>
    <w:rsid w:val="008A132B"/>
    <w:rsid w:val="008A13C6"/>
    <w:rsid w:val="008A1F12"/>
    <w:rsid w:val="008A2DD7"/>
    <w:rsid w:val="008A370E"/>
    <w:rsid w:val="008A37A3"/>
    <w:rsid w:val="008A4852"/>
    <w:rsid w:val="008A4A2C"/>
    <w:rsid w:val="008A4DC9"/>
    <w:rsid w:val="008A5254"/>
    <w:rsid w:val="008A5A1D"/>
    <w:rsid w:val="008A68E9"/>
    <w:rsid w:val="008A6B8C"/>
    <w:rsid w:val="008A71CD"/>
    <w:rsid w:val="008A77AF"/>
    <w:rsid w:val="008A7EA4"/>
    <w:rsid w:val="008B0FB9"/>
    <w:rsid w:val="008B13A5"/>
    <w:rsid w:val="008B1B4D"/>
    <w:rsid w:val="008B226A"/>
    <w:rsid w:val="008B24FC"/>
    <w:rsid w:val="008B2DCA"/>
    <w:rsid w:val="008B3758"/>
    <w:rsid w:val="008B37FF"/>
    <w:rsid w:val="008B3BED"/>
    <w:rsid w:val="008B3D36"/>
    <w:rsid w:val="008B4838"/>
    <w:rsid w:val="008B5542"/>
    <w:rsid w:val="008B56FE"/>
    <w:rsid w:val="008B591C"/>
    <w:rsid w:val="008B599C"/>
    <w:rsid w:val="008B5CD7"/>
    <w:rsid w:val="008B5CE4"/>
    <w:rsid w:val="008B6614"/>
    <w:rsid w:val="008B6C9C"/>
    <w:rsid w:val="008B7312"/>
    <w:rsid w:val="008B7C5E"/>
    <w:rsid w:val="008B7F91"/>
    <w:rsid w:val="008C0409"/>
    <w:rsid w:val="008C0652"/>
    <w:rsid w:val="008C12BD"/>
    <w:rsid w:val="008C191A"/>
    <w:rsid w:val="008C248A"/>
    <w:rsid w:val="008C25A8"/>
    <w:rsid w:val="008C2774"/>
    <w:rsid w:val="008C2998"/>
    <w:rsid w:val="008C29DE"/>
    <w:rsid w:val="008C2B7E"/>
    <w:rsid w:val="008C2DD1"/>
    <w:rsid w:val="008C3268"/>
    <w:rsid w:val="008C34E4"/>
    <w:rsid w:val="008C405D"/>
    <w:rsid w:val="008C4096"/>
    <w:rsid w:val="008C4323"/>
    <w:rsid w:val="008C4557"/>
    <w:rsid w:val="008C477A"/>
    <w:rsid w:val="008C4B2C"/>
    <w:rsid w:val="008C554C"/>
    <w:rsid w:val="008C6454"/>
    <w:rsid w:val="008C6CD6"/>
    <w:rsid w:val="008C721D"/>
    <w:rsid w:val="008C72DA"/>
    <w:rsid w:val="008C76D0"/>
    <w:rsid w:val="008C7E41"/>
    <w:rsid w:val="008D0FB3"/>
    <w:rsid w:val="008D115B"/>
    <w:rsid w:val="008D23A3"/>
    <w:rsid w:val="008D2CE8"/>
    <w:rsid w:val="008D32E4"/>
    <w:rsid w:val="008D3918"/>
    <w:rsid w:val="008D4693"/>
    <w:rsid w:val="008D4B13"/>
    <w:rsid w:val="008D4BBB"/>
    <w:rsid w:val="008D4FAC"/>
    <w:rsid w:val="008D6CBC"/>
    <w:rsid w:val="008D7CBA"/>
    <w:rsid w:val="008D7EDA"/>
    <w:rsid w:val="008E080B"/>
    <w:rsid w:val="008E0AE0"/>
    <w:rsid w:val="008E1049"/>
    <w:rsid w:val="008E113B"/>
    <w:rsid w:val="008E1474"/>
    <w:rsid w:val="008E15C9"/>
    <w:rsid w:val="008E1D89"/>
    <w:rsid w:val="008E2067"/>
    <w:rsid w:val="008E2376"/>
    <w:rsid w:val="008E2532"/>
    <w:rsid w:val="008E26D9"/>
    <w:rsid w:val="008E29DF"/>
    <w:rsid w:val="008E30DC"/>
    <w:rsid w:val="008E32A1"/>
    <w:rsid w:val="008E35D1"/>
    <w:rsid w:val="008E3971"/>
    <w:rsid w:val="008E3BB7"/>
    <w:rsid w:val="008E5545"/>
    <w:rsid w:val="008E5953"/>
    <w:rsid w:val="008E59FB"/>
    <w:rsid w:val="008E5D8B"/>
    <w:rsid w:val="008E65FE"/>
    <w:rsid w:val="008E6916"/>
    <w:rsid w:val="008E706E"/>
    <w:rsid w:val="008E730D"/>
    <w:rsid w:val="008E76A0"/>
    <w:rsid w:val="008E7C7C"/>
    <w:rsid w:val="008F08C9"/>
    <w:rsid w:val="008F0FFD"/>
    <w:rsid w:val="008F196D"/>
    <w:rsid w:val="008F19F0"/>
    <w:rsid w:val="008F1D0B"/>
    <w:rsid w:val="008F2111"/>
    <w:rsid w:val="008F2EA1"/>
    <w:rsid w:val="008F39E7"/>
    <w:rsid w:val="008F4157"/>
    <w:rsid w:val="008F5EEA"/>
    <w:rsid w:val="008F5F10"/>
    <w:rsid w:val="008F63A6"/>
    <w:rsid w:val="008F670F"/>
    <w:rsid w:val="008F68E9"/>
    <w:rsid w:val="008F6CBB"/>
    <w:rsid w:val="008F6CFC"/>
    <w:rsid w:val="008F6DCB"/>
    <w:rsid w:val="008F7EE8"/>
    <w:rsid w:val="00900388"/>
    <w:rsid w:val="0090047F"/>
    <w:rsid w:val="00900745"/>
    <w:rsid w:val="0090083C"/>
    <w:rsid w:val="0090148E"/>
    <w:rsid w:val="00901570"/>
    <w:rsid w:val="00901763"/>
    <w:rsid w:val="009021AE"/>
    <w:rsid w:val="009035B2"/>
    <w:rsid w:val="009039C0"/>
    <w:rsid w:val="00903B0F"/>
    <w:rsid w:val="00903EEB"/>
    <w:rsid w:val="00903F7F"/>
    <w:rsid w:val="00904358"/>
    <w:rsid w:val="00905855"/>
    <w:rsid w:val="009062C7"/>
    <w:rsid w:val="00906614"/>
    <w:rsid w:val="00906CEC"/>
    <w:rsid w:val="00906FC0"/>
    <w:rsid w:val="00907CEF"/>
    <w:rsid w:val="00910B0E"/>
    <w:rsid w:val="00910B67"/>
    <w:rsid w:val="00910D1A"/>
    <w:rsid w:val="00911261"/>
    <w:rsid w:val="009116F4"/>
    <w:rsid w:val="009118D5"/>
    <w:rsid w:val="00911AE1"/>
    <w:rsid w:val="00912060"/>
    <w:rsid w:val="00912190"/>
    <w:rsid w:val="00912A2E"/>
    <w:rsid w:val="00912A72"/>
    <w:rsid w:val="00912EB0"/>
    <w:rsid w:val="00913062"/>
    <w:rsid w:val="0091332E"/>
    <w:rsid w:val="00913B5E"/>
    <w:rsid w:val="00913FC8"/>
    <w:rsid w:val="00914639"/>
    <w:rsid w:val="00914690"/>
    <w:rsid w:val="00914DFA"/>
    <w:rsid w:val="00914F31"/>
    <w:rsid w:val="009155A6"/>
    <w:rsid w:val="00916092"/>
    <w:rsid w:val="00916567"/>
    <w:rsid w:val="0091688E"/>
    <w:rsid w:val="00916A63"/>
    <w:rsid w:val="00917401"/>
    <w:rsid w:val="00917BB8"/>
    <w:rsid w:val="009200F5"/>
    <w:rsid w:val="00920F7E"/>
    <w:rsid w:val="00921342"/>
    <w:rsid w:val="009215E1"/>
    <w:rsid w:val="00921D05"/>
    <w:rsid w:val="00921FA0"/>
    <w:rsid w:val="00922C8A"/>
    <w:rsid w:val="00922D3A"/>
    <w:rsid w:val="00923064"/>
    <w:rsid w:val="009230AB"/>
    <w:rsid w:val="00923281"/>
    <w:rsid w:val="00923CA1"/>
    <w:rsid w:val="00923DEB"/>
    <w:rsid w:val="00924FEF"/>
    <w:rsid w:val="009255C7"/>
    <w:rsid w:val="009257EF"/>
    <w:rsid w:val="00926ADD"/>
    <w:rsid w:val="0092724F"/>
    <w:rsid w:val="00927892"/>
    <w:rsid w:val="00930131"/>
    <w:rsid w:val="0093079C"/>
    <w:rsid w:val="00930DE2"/>
    <w:rsid w:val="00930ED4"/>
    <w:rsid w:val="00931942"/>
    <w:rsid w:val="00931976"/>
    <w:rsid w:val="009320C5"/>
    <w:rsid w:val="00932B34"/>
    <w:rsid w:val="00932BAC"/>
    <w:rsid w:val="00933605"/>
    <w:rsid w:val="00933AE6"/>
    <w:rsid w:val="00933DF3"/>
    <w:rsid w:val="009349BF"/>
    <w:rsid w:val="00934CC5"/>
    <w:rsid w:val="00934F79"/>
    <w:rsid w:val="00935206"/>
    <w:rsid w:val="009353FC"/>
    <w:rsid w:val="009359C8"/>
    <w:rsid w:val="00935EC6"/>
    <w:rsid w:val="009364B1"/>
    <w:rsid w:val="00936B73"/>
    <w:rsid w:val="00937A47"/>
    <w:rsid w:val="0094070B"/>
    <w:rsid w:val="009408E9"/>
    <w:rsid w:val="00940A6C"/>
    <w:rsid w:val="00940F81"/>
    <w:rsid w:val="00940FCE"/>
    <w:rsid w:val="009417B4"/>
    <w:rsid w:val="009417E8"/>
    <w:rsid w:val="00941C51"/>
    <w:rsid w:val="00942468"/>
    <w:rsid w:val="009429D2"/>
    <w:rsid w:val="00943124"/>
    <w:rsid w:val="00943536"/>
    <w:rsid w:val="009435F1"/>
    <w:rsid w:val="0094367A"/>
    <w:rsid w:val="00943AC7"/>
    <w:rsid w:val="009442C2"/>
    <w:rsid w:val="00944802"/>
    <w:rsid w:val="00944D17"/>
    <w:rsid w:val="00944E29"/>
    <w:rsid w:val="00945762"/>
    <w:rsid w:val="00945A40"/>
    <w:rsid w:val="009472C5"/>
    <w:rsid w:val="009473AE"/>
    <w:rsid w:val="0094750F"/>
    <w:rsid w:val="009475AB"/>
    <w:rsid w:val="00947945"/>
    <w:rsid w:val="009479F0"/>
    <w:rsid w:val="00947FF4"/>
    <w:rsid w:val="0095013A"/>
    <w:rsid w:val="00950E42"/>
    <w:rsid w:val="00951191"/>
    <w:rsid w:val="009511BF"/>
    <w:rsid w:val="009511C7"/>
    <w:rsid w:val="00951616"/>
    <w:rsid w:val="00951811"/>
    <w:rsid w:val="0095219E"/>
    <w:rsid w:val="00952219"/>
    <w:rsid w:val="00952C62"/>
    <w:rsid w:val="00953058"/>
    <w:rsid w:val="009531B2"/>
    <w:rsid w:val="009533FA"/>
    <w:rsid w:val="00953CC7"/>
    <w:rsid w:val="00954B0F"/>
    <w:rsid w:val="00954FC6"/>
    <w:rsid w:val="009553AB"/>
    <w:rsid w:val="0095577B"/>
    <w:rsid w:val="00955AC3"/>
    <w:rsid w:val="00956504"/>
    <w:rsid w:val="00956D26"/>
    <w:rsid w:val="00956D30"/>
    <w:rsid w:val="00956D4C"/>
    <w:rsid w:val="00956F8B"/>
    <w:rsid w:val="0095744D"/>
    <w:rsid w:val="009576E6"/>
    <w:rsid w:val="00957748"/>
    <w:rsid w:val="00957B9F"/>
    <w:rsid w:val="009603DA"/>
    <w:rsid w:val="00960515"/>
    <w:rsid w:val="009606E8"/>
    <w:rsid w:val="00960802"/>
    <w:rsid w:val="00960ABB"/>
    <w:rsid w:val="00960C7B"/>
    <w:rsid w:val="009612F9"/>
    <w:rsid w:val="00961886"/>
    <w:rsid w:val="00961929"/>
    <w:rsid w:val="00961DD7"/>
    <w:rsid w:val="0096211B"/>
    <w:rsid w:val="009624A5"/>
    <w:rsid w:val="00963A28"/>
    <w:rsid w:val="0096437B"/>
    <w:rsid w:val="009646C9"/>
    <w:rsid w:val="00964D11"/>
    <w:rsid w:val="009653CC"/>
    <w:rsid w:val="0096547E"/>
    <w:rsid w:val="00965AC4"/>
    <w:rsid w:val="00965D19"/>
    <w:rsid w:val="00965DD9"/>
    <w:rsid w:val="009661A4"/>
    <w:rsid w:val="009662F8"/>
    <w:rsid w:val="009674FD"/>
    <w:rsid w:val="0096757B"/>
    <w:rsid w:val="009676A8"/>
    <w:rsid w:val="0097032F"/>
    <w:rsid w:val="00970456"/>
    <w:rsid w:val="00970C59"/>
    <w:rsid w:val="00970D79"/>
    <w:rsid w:val="0097131B"/>
    <w:rsid w:val="009722AC"/>
    <w:rsid w:val="00972413"/>
    <w:rsid w:val="00973D6F"/>
    <w:rsid w:val="0097419E"/>
    <w:rsid w:val="00974A8D"/>
    <w:rsid w:val="00975095"/>
    <w:rsid w:val="00976380"/>
    <w:rsid w:val="00976B96"/>
    <w:rsid w:val="00977111"/>
    <w:rsid w:val="009771E4"/>
    <w:rsid w:val="0097743C"/>
    <w:rsid w:val="00977928"/>
    <w:rsid w:val="0098025A"/>
    <w:rsid w:val="009803BA"/>
    <w:rsid w:val="0098086B"/>
    <w:rsid w:val="00982001"/>
    <w:rsid w:val="00982473"/>
    <w:rsid w:val="00982485"/>
    <w:rsid w:val="009824A6"/>
    <w:rsid w:val="009826EE"/>
    <w:rsid w:val="00982E2E"/>
    <w:rsid w:val="009836F8"/>
    <w:rsid w:val="009837DA"/>
    <w:rsid w:val="00983810"/>
    <w:rsid w:val="00983CC1"/>
    <w:rsid w:val="00983CE1"/>
    <w:rsid w:val="00984386"/>
    <w:rsid w:val="009855CC"/>
    <w:rsid w:val="009855DF"/>
    <w:rsid w:val="00985B96"/>
    <w:rsid w:val="00986807"/>
    <w:rsid w:val="00986BC3"/>
    <w:rsid w:val="00987225"/>
    <w:rsid w:val="009875D7"/>
    <w:rsid w:val="009879A3"/>
    <w:rsid w:val="00987C26"/>
    <w:rsid w:val="00987DCC"/>
    <w:rsid w:val="00990126"/>
    <w:rsid w:val="00990E87"/>
    <w:rsid w:val="0099191A"/>
    <w:rsid w:val="00991D56"/>
    <w:rsid w:val="00991D92"/>
    <w:rsid w:val="00991FC5"/>
    <w:rsid w:val="009921A4"/>
    <w:rsid w:val="0099266B"/>
    <w:rsid w:val="00992CA4"/>
    <w:rsid w:val="00992FA0"/>
    <w:rsid w:val="009930A9"/>
    <w:rsid w:val="009930DB"/>
    <w:rsid w:val="0099366C"/>
    <w:rsid w:val="009939C1"/>
    <w:rsid w:val="00993A39"/>
    <w:rsid w:val="0099455E"/>
    <w:rsid w:val="0099475D"/>
    <w:rsid w:val="00994881"/>
    <w:rsid w:val="00994A2F"/>
    <w:rsid w:val="0099540F"/>
    <w:rsid w:val="009955CE"/>
    <w:rsid w:val="00995670"/>
    <w:rsid w:val="009957E1"/>
    <w:rsid w:val="0099691A"/>
    <w:rsid w:val="009972F5"/>
    <w:rsid w:val="00997374"/>
    <w:rsid w:val="009976C3"/>
    <w:rsid w:val="00997B56"/>
    <w:rsid w:val="009A0513"/>
    <w:rsid w:val="009A075C"/>
    <w:rsid w:val="009A0A9B"/>
    <w:rsid w:val="009A13DF"/>
    <w:rsid w:val="009A1E61"/>
    <w:rsid w:val="009A1E70"/>
    <w:rsid w:val="009A2200"/>
    <w:rsid w:val="009A282D"/>
    <w:rsid w:val="009A32AC"/>
    <w:rsid w:val="009A38B3"/>
    <w:rsid w:val="009A39C7"/>
    <w:rsid w:val="009A3A2C"/>
    <w:rsid w:val="009A3ED9"/>
    <w:rsid w:val="009A41CB"/>
    <w:rsid w:val="009A446D"/>
    <w:rsid w:val="009A48AC"/>
    <w:rsid w:val="009A4969"/>
    <w:rsid w:val="009A5445"/>
    <w:rsid w:val="009A590B"/>
    <w:rsid w:val="009A596C"/>
    <w:rsid w:val="009A5CF9"/>
    <w:rsid w:val="009A5F80"/>
    <w:rsid w:val="009A60EA"/>
    <w:rsid w:val="009A6735"/>
    <w:rsid w:val="009A69C7"/>
    <w:rsid w:val="009A6F73"/>
    <w:rsid w:val="009A70D3"/>
    <w:rsid w:val="009A7B72"/>
    <w:rsid w:val="009A7B86"/>
    <w:rsid w:val="009B000F"/>
    <w:rsid w:val="009B038E"/>
    <w:rsid w:val="009B0A0A"/>
    <w:rsid w:val="009B1007"/>
    <w:rsid w:val="009B1057"/>
    <w:rsid w:val="009B1642"/>
    <w:rsid w:val="009B1715"/>
    <w:rsid w:val="009B19D6"/>
    <w:rsid w:val="009B1B23"/>
    <w:rsid w:val="009B1DCE"/>
    <w:rsid w:val="009B2912"/>
    <w:rsid w:val="009B3607"/>
    <w:rsid w:val="009B38CF"/>
    <w:rsid w:val="009B39F1"/>
    <w:rsid w:val="009B3A6F"/>
    <w:rsid w:val="009B3A98"/>
    <w:rsid w:val="009B411E"/>
    <w:rsid w:val="009B4D48"/>
    <w:rsid w:val="009B5468"/>
    <w:rsid w:val="009B5699"/>
    <w:rsid w:val="009B5D5B"/>
    <w:rsid w:val="009B5D83"/>
    <w:rsid w:val="009B5E07"/>
    <w:rsid w:val="009B6FB6"/>
    <w:rsid w:val="009B7BBE"/>
    <w:rsid w:val="009B7DD7"/>
    <w:rsid w:val="009B7F98"/>
    <w:rsid w:val="009C0EC2"/>
    <w:rsid w:val="009C1421"/>
    <w:rsid w:val="009C15CE"/>
    <w:rsid w:val="009C1820"/>
    <w:rsid w:val="009C1EA3"/>
    <w:rsid w:val="009C2305"/>
    <w:rsid w:val="009C2478"/>
    <w:rsid w:val="009C25B0"/>
    <w:rsid w:val="009C2A57"/>
    <w:rsid w:val="009C4041"/>
    <w:rsid w:val="009C42FA"/>
    <w:rsid w:val="009C5535"/>
    <w:rsid w:val="009C5BAA"/>
    <w:rsid w:val="009C5BE0"/>
    <w:rsid w:val="009C63ED"/>
    <w:rsid w:val="009C651D"/>
    <w:rsid w:val="009C6909"/>
    <w:rsid w:val="009C6C41"/>
    <w:rsid w:val="009C6E5B"/>
    <w:rsid w:val="009C7681"/>
    <w:rsid w:val="009C770D"/>
    <w:rsid w:val="009C7E27"/>
    <w:rsid w:val="009D0057"/>
    <w:rsid w:val="009D02CA"/>
    <w:rsid w:val="009D07A3"/>
    <w:rsid w:val="009D0BD0"/>
    <w:rsid w:val="009D1B94"/>
    <w:rsid w:val="009D247E"/>
    <w:rsid w:val="009D2C8B"/>
    <w:rsid w:val="009D2D49"/>
    <w:rsid w:val="009D3469"/>
    <w:rsid w:val="009D35FB"/>
    <w:rsid w:val="009D3667"/>
    <w:rsid w:val="009D3A5B"/>
    <w:rsid w:val="009D3C95"/>
    <w:rsid w:val="009D3FF4"/>
    <w:rsid w:val="009D4227"/>
    <w:rsid w:val="009D53C5"/>
    <w:rsid w:val="009D5768"/>
    <w:rsid w:val="009D5E51"/>
    <w:rsid w:val="009D60EB"/>
    <w:rsid w:val="009D681F"/>
    <w:rsid w:val="009D6BA2"/>
    <w:rsid w:val="009D6E3F"/>
    <w:rsid w:val="009D726E"/>
    <w:rsid w:val="009D786F"/>
    <w:rsid w:val="009D78D8"/>
    <w:rsid w:val="009E10AD"/>
    <w:rsid w:val="009E154D"/>
    <w:rsid w:val="009E171D"/>
    <w:rsid w:val="009E1B0F"/>
    <w:rsid w:val="009E25B7"/>
    <w:rsid w:val="009E2B84"/>
    <w:rsid w:val="009E3360"/>
    <w:rsid w:val="009E345D"/>
    <w:rsid w:val="009E38B9"/>
    <w:rsid w:val="009E3DDA"/>
    <w:rsid w:val="009E419F"/>
    <w:rsid w:val="009E44C9"/>
    <w:rsid w:val="009E4520"/>
    <w:rsid w:val="009E46D7"/>
    <w:rsid w:val="009E4FAC"/>
    <w:rsid w:val="009E4FD4"/>
    <w:rsid w:val="009E5070"/>
    <w:rsid w:val="009E5381"/>
    <w:rsid w:val="009E54CB"/>
    <w:rsid w:val="009E57F8"/>
    <w:rsid w:val="009E5D5B"/>
    <w:rsid w:val="009E7193"/>
    <w:rsid w:val="009E7C7E"/>
    <w:rsid w:val="009E7CBE"/>
    <w:rsid w:val="009F0094"/>
    <w:rsid w:val="009F0230"/>
    <w:rsid w:val="009F0AB4"/>
    <w:rsid w:val="009F1284"/>
    <w:rsid w:val="009F16D5"/>
    <w:rsid w:val="009F1B23"/>
    <w:rsid w:val="009F2319"/>
    <w:rsid w:val="009F3179"/>
    <w:rsid w:val="009F367D"/>
    <w:rsid w:val="009F3795"/>
    <w:rsid w:val="009F3B14"/>
    <w:rsid w:val="009F4DD6"/>
    <w:rsid w:val="009F4F54"/>
    <w:rsid w:val="009F50EB"/>
    <w:rsid w:val="009F57D1"/>
    <w:rsid w:val="009F5ACA"/>
    <w:rsid w:val="009F5BAC"/>
    <w:rsid w:val="009F5BBA"/>
    <w:rsid w:val="009F5F26"/>
    <w:rsid w:val="009F611C"/>
    <w:rsid w:val="009F6C4A"/>
    <w:rsid w:val="009F6E8A"/>
    <w:rsid w:val="009F7199"/>
    <w:rsid w:val="009F724F"/>
    <w:rsid w:val="009F7A6C"/>
    <w:rsid w:val="00A0013D"/>
    <w:rsid w:val="00A00C8D"/>
    <w:rsid w:val="00A0235C"/>
    <w:rsid w:val="00A0253E"/>
    <w:rsid w:val="00A02F44"/>
    <w:rsid w:val="00A03696"/>
    <w:rsid w:val="00A03D53"/>
    <w:rsid w:val="00A03E45"/>
    <w:rsid w:val="00A04746"/>
    <w:rsid w:val="00A049F0"/>
    <w:rsid w:val="00A049F1"/>
    <w:rsid w:val="00A04AE3"/>
    <w:rsid w:val="00A0522E"/>
    <w:rsid w:val="00A0525A"/>
    <w:rsid w:val="00A0569F"/>
    <w:rsid w:val="00A064CE"/>
    <w:rsid w:val="00A068B1"/>
    <w:rsid w:val="00A06E47"/>
    <w:rsid w:val="00A07591"/>
    <w:rsid w:val="00A078BB"/>
    <w:rsid w:val="00A07976"/>
    <w:rsid w:val="00A07BD4"/>
    <w:rsid w:val="00A100FC"/>
    <w:rsid w:val="00A10C45"/>
    <w:rsid w:val="00A111E1"/>
    <w:rsid w:val="00A1162D"/>
    <w:rsid w:val="00A11842"/>
    <w:rsid w:val="00A11AFF"/>
    <w:rsid w:val="00A121B3"/>
    <w:rsid w:val="00A12679"/>
    <w:rsid w:val="00A126DA"/>
    <w:rsid w:val="00A12A18"/>
    <w:rsid w:val="00A12B0D"/>
    <w:rsid w:val="00A1315A"/>
    <w:rsid w:val="00A132BA"/>
    <w:rsid w:val="00A1354C"/>
    <w:rsid w:val="00A1407E"/>
    <w:rsid w:val="00A14AD4"/>
    <w:rsid w:val="00A14E1F"/>
    <w:rsid w:val="00A153B3"/>
    <w:rsid w:val="00A1549C"/>
    <w:rsid w:val="00A158AB"/>
    <w:rsid w:val="00A15B88"/>
    <w:rsid w:val="00A1638E"/>
    <w:rsid w:val="00A16EE3"/>
    <w:rsid w:val="00A171C6"/>
    <w:rsid w:val="00A17A45"/>
    <w:rsid w:val="00A2008B"/>
    <w:rsid w:val="00A2055D"/>
    <w:rsid w:val="00A205C4"/>
    <w:rsid w:val="00A20921"/>
    <w:rsid w:val="00A20B5B"/>
    <w:rsid w:val="00A20C03"/>
    <w:rsid w:val="00A21501"/>
    <w:rsid w:val="00A224B0"/>
    <w:rsid w:val="00A229E8"/>
    <w:rsid w:val="00A22BC4"/>
    <w:rsid w:val="00A22BFC"/>
    <w:rsid w:val="00A23466"/>
    <w:rsid w:val="00A23DB0"/>
    <w:rsid w:val="00A24A6B"/>
    <w:rsid w:val="00A24B20"/>
    <w:rsid w:val="00A263DF"/>
    <w:rsid w:val="00A26B5C"/>
    <w:rsid w:val="00A27DF4"/>
    <w:rsid w:val="00A27E65"/>
    <w:rsid w:val="00A27F60"/>
    <w:rsid w:val="00A30654"/>
    <w:rsid w:val="00A30974"/>
    <w:rsid w:val="00A30FC5"/>
    <w:rsid w:val="00A30FF2"/>
    <w:rsid w:val="00A3111D"/>
    <w:rsid w:val="00A31BAE"/>
    <w:rsid w:val="00A31FA9"/>
    <w:rsid w:val="00A3230C"/>
    <w:rsid w:val="00A3237A"/>
    <w:rsid w:val="00A323C6"/>
    <w:rsid w:val="00A3389C"/>
    <w:rsid w:val="00A33B23"/>
    <w:rsid w:val="00A33EFD"/>
    <w:rsid w:val="00A33FA0"/>
    <w:rsid w:val="00A34054"/>
    <w:rsid w:val="00A34E28"/>
    <w:rsid w:val="00A351C6"/>
    <w:rsid w:val="00A35C4A"/>
    <w:rsid w:val="00A36F87"/>
    <w:rsid w:val="00A37379"/>
    <w:rsid w:val="00A37710"/>
    <w:rsid w:val="00A402F2"/>
    <w:rsid w:val="00A4057B"/>
    <w:rsid w:val="00A40685"/>
    <w:rsid w:val="00A415E0"/>
    <w:rsid w:val="00A41A4A"/>
    <w:rsid w:val="00A42047"/>
    <w:rsid w:val="00A4253C"/>
    <w:rsid w:val="00A427A2"/>
    <w:rsid w:val="00A42C30"/>
    <w:rsid w:val="00A42D6E"/>
    <w:rsid w:val="00A42E6A"/>
    <w:rsid w:val="00A43807"/>
    <w:rsid w:val="00A43875"/>
    <w:rsid w:val="00A43988"/>
    <w:rsid w:val="00A439D2"/>
    <w:rsid w:val="00A43A13"/>
    <w:rsid w:val="00A43D12"/>
    <w:rsid w:val="00A448A0"/>
    <w:rsid w:val="00A449A9"/>
    <w:rsid w:val="00A44DBA"/>
    <w:rsid w:val="00A45316"/>
    <w:rsid w:val="00A45F90"/>
    <w:rsid w:val="00A460D2"/>
    <w:rsid w:val="00A461A1"/>
    <w:rsid w:val="00A47133"/>
    <w:rsid w:val="00A47292"/>
    <w:rsid w:val="00A47511"/>
    <w:rsid w:val="00A50146"/>
    <w:rsid w:val="00A5171C"/>
    <w:rsid w:val="00A522FD"/>
    <w:rsid w:val="00A52621"/>
    <w:rsid w:val="00A52995"/>
    <w:rsid w:val="00A52FB6"/>
    <w:rsid w:val="00A534D3"/>
    <w:rsid w:val="00A53808"/>
    <w:rsid w:val="00A53E0E"/>
    <w:rsid w:val="00A54613"/>
    <w:rsid w:val="00A5471F"/>
    <w:rsid w:val="00A54A9E"/>
    <w:rsid w:val="00A55209"/>
    <w:rsid w:val="00A55ADB"/>
    <w:rsid w:val="00A565E6"/>
    <w:rsid w:val="00A568F4"/>
    <w:rsid w:val="00A577D8"/>
    <w:rsid w:val="00A57AEF"/>
    <w:rsid w:val="00A60357"/>
    <w:rsid w:val="00A604AB"/>
    <w:rsid w:val="00A611EA"/>
    <w:rsid w:val="00A6137D"/>
    <w:rsid w:val="00A61385"/>
    <w:rsid w:val="00A61854"/>
    <w:rsid w:val="00A61D42"/>
    <w:rsid w:val="00A61E2F"/>
    <w:rsid w:val="00A61EDF"/>
    <w:rsid w:val="00A62503"/>
    <w:rsid w:val="00A62E3F"/>
    <w:rsid w:val="00A62F54"/>
    <w:rsid w:val="00A633D6"/>
    <w:rsid w:val="00A635CA"/>
    <w:rsid w:val="00A63A81"/>
    <w:rsid w:val="00A641BC"/>
    <w:rsid w:val="00A6471C"/>
    <w:rsid w:val="00A649CE"/>
    <w:rsid w:val="00A653D3"/>
    <w:rsid w:val="00A66911"/>
    <w:rsid w:val="00A66E04"/>
    <w:rsid w:val="00A67728"/>
    <w:rsid w:val="00A7002E"/>
    <w:rsid w:val="00A705F4"/>
    <w:rsid w:val="00A70818"/>
    <w:rsid w:val="00A7107B"/>
    <w:rsid w:val="00A710F5"/>
    <w:rsid w:val="00A71325"/>
    <w:rsid w:val="00A7155B"/>
    <w:rsid w:val="00A715DC"/>
    <w:rsid w:val="00A718C4"/>
    <w:rsid w:val="00A71EC9"/>
    <w:rsid w:val="00A7296F"/>
    <w:rsid w:val="00A72AB2"/>
    <w:rsid w:val="00A72C18"/>
    <w:rsid w:val="00A72DF9"/>
    <w:rsid w:val="00A73108"/>
    <w:rsid w:val="00A731DF"/>
    <w:rsid w:val="00A73C44"/>
    <w:rsid w:val="00A73EDC"/>
    <w:rsid w:val="00A7437C"/>
    <w:rsid w:val="00A749A7"/>
    <w:rsid w:val="00A749C3"/>
    <w:rsid w:val="00A75125"/>
    <w:rsid w:val="00A751B0"/>
    <w:rsid w:val="00A753F6"/>
    <w:rsid w:val="00A7548D"/>
    <w:rsid w:val="00A75655"/>
    <w:rsid w:val="00A759E2"/>
    <w:rsid w:val="00A76646"/>
    <w:rsid w:val="00A772EA"/>
    <w:rsid w:val="00A7754D"/>
    <w:rsid w:val="00A77732"/>
    <w:rsid w:val="00A77D53"/>
    <w:rsid w:val="00A8075E"/>
    <w:rsid w:val="00A80D1C"/>
    <w:rsid w:val="00A80F13"/>
    <w:rsid w:val="00A8125D"/>
    <w:rsid w:val="00A812D3"/>
    <w:rsid w:val="00A818ED"/>
    <w:rsid w:val="00A81997"/>
    <w:rsid w:val="00A8223A"/>
    <w:rsid w:val="00A82D61"/>
    <w:rsid w:val="00A82F72"/>
    <w:rsid w:val="00A8399B"/>
    <w:rsid w:val="00A8422F"/>
    <w:rsid w:val="00A849B6"/>
    <w:rsid w:val="00A849F5"/>
    <w:rsid w:val="00A84DEB"/>
    <w:rsid w:val="00A850D8"/>
    <w:rsid w:val="00A85803"/>
    <w:rsid w:val="00A85D5D"/>
    <w:rsid w:val="00A85EDA"/>
    <w:rsid w:val="00A8619E"/>
    <w:rsid w:val="00A863D9"/>
    <w:rsid w:val="00A86AB9"/>
    <w:rsid w:val="00A86F20"/>
    <w:rsid w:val="00A86F43"/>
    <w:rsid w:val="00A8757C"/>
    <w:rsid w:val="00A8783D"/>
    <w:rsid w:val="00A878DB"/>
    <w:rsid w:val="00A878E7"/>
    <w:rsid w:val="00A879DA"/>
    <w:rsid w:val="00A87E99"/>
    <w:rsid w:val="00A9044C"/>
    <w:rsid w:val="00A905B3"/>
    <w:rsid w:val="00A9083D"/>
    <w:rsid w:val="00A9134A"/>
    <w:rsid w:val="00A913D5"/>
    <w:rsid w:val="00A91A93"/>
    <w:rsid w:val="00A91DA7"/>
    <w:rsid w:val="00A92806"/>
    <w:rsid w:val="00A92E4A"/>
    <w:rsid w:val="00A947E3"/>
    <w:rsid w:val="00A950FB"/>
    <w:rsid w:val="00A951B1"/>
    <w:rsid w:val="00A960EA"/>
    <w:rsid w:val="00A9619E"/>
    <w:rsid w:val="00A966CF"/>
    <w:rsid w:val="00A975E4"/>
    <w:rsid w:val="00A97CAA"/>
    <w:rsid w:val="00AA0097"/>
    <w:rsid w:val="00AA013C"/>
    <w:rsid w:val="00AA0242"/>
    <w:rsid w:val="00AA09DC"/>
    <w:rsid w:val="00AA0E6C"/>
    <w:rsid w:val="00AA162A"/>
    <w:rsid w:val="00AA16DC"/>
    <w:rsid w:val="00AA1A6C"/>
    <w:rsid w:val="00AA1F68"/>
    <w:rsid w:val="00AA2000"/>
    <w:rsid w:val="00AA22F1"/>
    <w:rsid w:val="00AA23A7"/>
    <w:rsid w:val="00AA2A32"/>
    <w:rsid w:val="00AA2AE3"/>
    <w:rsid w:val="00AA2D26"/>
    <w:rsid w:val="00AA2FBA"/>
    <w:rsid w:val="00AA300A"/>
    <w:rsid w:val="00AA3522"/>
    <w:rsid w:val="00AA3A27"/>
    <w:rsid w:val="00AA3AB7"/>
    <w:rsid w:val="00AA4F37"/>
    <w:rsid w:val="00AA506D"/>
    <w:rsid w:val="00AA55C4"/>
    <w:rsid w:val="00AA5605"/>
    <w:rsid w:val="00AA57C3"/>
    <w:rsid w:val="00AA5BF3"/>
    <w:rsid w:val="00AA6F85"/>
    <w:rsid w:val="00AA79AF"/>
    <w:rsid w:val="00AA7EC7"/>
    <w:rsid w:val="00AB028F"/>
    <w:rsid w:val="00AB04BE"/>
    <w:rsid w:val="00AB1357"/>
    <w:rsid w:val="00AB142A"/>
    <w:rsid w:val="00AB1838"/>
    <w:rsid w:val="00AB1FDB"/>
    <w:rsid w:val="00AB267B"/>
    <w:rsid w:val="00AB2ADA"/>
    <w:rsid w:val="00AB35DB"/>
    <w:rsid w:val="00AB3882"/>
    <w:rsid w:val="00AB39A5"/>
    <w:rsid w:val="00AB3A72"/>
    <w:rsid w:val="00AB3A7F"/>
    <w:rsid w:val="00AB4955"/>
    <w:rsid w:val="00AB60F7"/>
    <w:rsid w:val="00AB63D6"/>
    <w:rsid w:val="00AB66F4"/>
    <w:rsid w:val="00AB685E"/>
    <w:rsid w:val="00AB6F25"/>
    <w:rsid w:val="00AB7934"/>
    <w:rsid w:val="00AC01C1"/>
    <w:rsid w:val="00AC0665"/>
    <w:rsid w:val="00AC0752"/>
    <w:rsid w:val="00AC0B2D"/>
    <w:rsid w:val="00AC0B60"/>
    <w:rsid w:val="00AC0C81"/>
    <w:rsid w:val="00AC0FAF"/>
    <w:rsid w:val="00AC1EAF"/>
    <w:rsid w:val="00AC297F"/>
    <w:rsid w:val="00AC36CA"/>
    <w:rsid w:val="00AC3DAA"/>
    <w:rsid w:val="00AC3E9F"/>
    <w:rsid w:val="00AC46A4"/>
    <w:rsid w:val="00AC4879"/>
    <w:rsid w:val="00AC4BB0"/>
    <w:rsid w:val="00AC4BB7"/>
    <w:rsid w:val="00AC5277"/>
    <w:rsid w:val="00AC534F"/>
    <w:rsid w:val="00AC5381"/>
    <w:rsid w:val="00AC6051"/>
    <w:rsid w:val="00AC61B7"/>
    <w:rsid w:val="00AC694B"/>
    <w:rsid w:val="00AC6A55"/>
    <w:rsid w:val="00AC6A7D"/>
    <w:rsid w:val="00AC6CB5"/>
    <w:rsid w:val="00AC6D71"/>
    <w:rsid w:val="00AC6DE4"/>
    <w:rsid w:val="00AC7553"/>
    <w:rsid w:val="00AC7DD7"/>
    <w:rsid w:val="00AC7F52"/>
    <w:rsid w:val="00AD03BA"/>
    <w:rsid w:val="00AD0792"/>
    <w:rsid w:val="00AD08F3"/>
    <w:rsid w:val="00AD09EA"/>
    <w:rsid w:val="00AD0E5C"/>
    <w:rsid w:val="00AD1780"/>
    <w:rsid w:val="00AD1BCE"/>
    <w:rsid w:val="00AD1F7B"/>
    <w:rsid w:val="00AD22BA"/>
    <w:rsid w:val="00AD2795"/>
    <w:rsid w:val="00AD2B6E"/>
    <w:rsid w:val="00AD3FC0"/>
    <w:rsid w:val="00AD4F73"/>
    <w:rsid w:val="00AD55CB"/>
    <w:rsid w:val="00AD5AC3"/>
    <w:rsid w:val="00AD5C8B"/>
    <w:rsid w:val="00AD62C4"/>
    <w:rsid w:val="00AD6606"/>
    <w:rsid w:val="00AD6907"/>
    <w:rsid w:val="00AD75D3"/>
    <w:rsid w:val="00AD7DFE"/>
    <w:rsid w:val="00AD7E00"/>
    <w:rsid w:val="00AE02C7"/>
    <w:rsid w:val="00AE034F"/>
    <w:rsid w:val="00AE0606"/>
    <w:rsid w:val="00AE0DDB"/>
    <w:rsid w:val="00AE1E8D"/>
    <w:rsid w:val="00AE27C9"/>
    <w:rsid w:val="00AE28D5"/>
    <w:rsid w:val="00AE2A1C"/>
    <w:rsid w:val="00AE2DEF"/>
    <w:rsid w:val="00AE2E9A"/>
    <w:rsid w:val="00AE3C6A"/>
    <w:rsid w:val="00AE4021"/>
    <w:rsid w:val="00AE41E7"/>
    <w:rsid w:val="00AE4EBD"/>
    <w:rsid w:val="00AE5364"/>
    <w:rsid w:val="00AE5CA5"/>
    <w:rsid w:val="00AE6AB0"/>
    <w:rsid w:val="00AE6BE6"/>
    <w:rsid w:val="00AE75DC"/>
    <w:rsid w:val="00AE7735"/>
    <w:rsid w:val="00AE784A"/>
    <w:rsid w:val="00AE7B28"/>
    <w:rsid w:val="00AE7C57"/>
    <w:rsid w:val="00AE7EEA"/>
    <w:rsid w:val="00AE7F9B"/>
    <w:rsid w:val="00AF05E4"/>
    <w:rsid w:val="00AF0746"/>
    <w:rsid w:val="00AF0CBF"/>
    <w:rsid w:val="00AF1175"/>
    <w:rsid w:val="00AF1691"/>
    <w:rsid w:val="00AF2393"/>
    <w:rsid w:val="00AF249B"/>
    <w:rsid w:val="00AF2B8B"/>
    <w:rsid w:val="00AF2D26"/>
    <w:rsid w:val="00AF3088"/>
    <w:rsid w:val="00AF3C0C"/>
    <w:rsid w:val="00AF420F"/>
    <w:rsid w:val="00AF4439"/>
    <w:rsid w:val="00AF45B0"/>
    <w:rsid w:val="00AF47C3"/>
    <w:rsid w:val="00AF482F"/>
    <w:rsid w:val="00AF50EF"/>
    <w:rsid w:val="00AF55B3"/>
    <w:rsid w:val="00AF57E9"/>
    <w:rsid w:val="00AF588F"/>
    <w:rsid w:val="00AF65F4"/>
    <w:rsid w:val="00AF729B"/>
    <w:rsid w:val="00B0072A"/>
    <w:rsid w:val="00B019BA"/>
    <w:rsid w:val="00B01ED3"/>
    <w:rsid w:val="00B02162"/>
    <w:rsid w:val="00B025D9"/>
    <w:rsid w:val="00B02A9C"/>
    <w:rsid w:val="00B02C1F"/>
    <w:rsid w:val="00B030B5"/>
    <w:rsid w:val="00B03557"/>
    <w:rsid w:val="00B037BF"/>
    <w:rsid w:val="00B041BB"/>
    <w:rsid w:val="00B0531D"/>
    <w:rsid w:val="00B05D9B"/>
    <w:rsid w:val="00B05E41"/>
    <w:rsid w:val="00B06C3C"/>
    <w:rsid w:val="00B06C8C"/>
    <w:rsid w:val="00B07AFF"/>
    <w:rsid w:val="00B1013A"/>
    <w:rsid w:val="00B10C4D"/>
    <w:rsid w:val="00B10EFD"/>
    <w:rsid w:val="00B111EE"/>
    <w:rsid w:val="00B11353"/>
    <w:rsid w:val="00B11C01"/>
    <w:rsid w:val="00B132ED"/>
    <w:rsid w:val="00B13421"/>
    <w:rsid w:val="00B13D58"/>
    <w:rsid w:val="00B141EB"/>
    <w:rsid w:val="00B146BE"/>
    <w:rsid w:val="00B14A19"/>
    <w:rsid w:val="00B1545A"/>
    <w:rsid w:val="00B154E3"/>
    <w:rsid w:val="00B16E4F"/>
    <w:rsid w:val="00B16F0B"/>
    <w:rsid w:val="00B17143"/>
    <w:rsid w:val="00B20869"/>
    <w:rsid w:val="00B20D7E"/>
    <w:rsid w:val="00B21AFA"/>
    <w:rsid w:val="00B2299A"/>
    <w:rsid w:val="00B22CD5"/>
    <w:rsid w:val="00B22F49"/>
    <w:rsid w:val="00B22F8F"/>
    <w:rsid w:val="00B23372"/>
    <w:rsid w:val="00B238C2"/>
    <w:rsid w:val="00B23A21"/>
    <w:rsid w:val="00B2409A"/>
    <w:rsid w:val="00B240BF"/>
    <w:rsid w:val="00B243D3"/>
    <w:rsid w:val="00B24610"/>
    <w:rsid w:val="00B24B2F"/>
    <w:rsid w:val="00B24BBB"/>
    <w:rsid w:val="00B25055"/>
    <w:rsid w:val="00B25783"/>
    <w:rsid w:val="00B25BE9"/>
    <w:rsid w:val="00B26718"/>
    <w:rsid w:val="00B26989"/>
    <w:rsid w:val="00B27131"/>
    <w:rsid w:val="00B27496"/>
    <w:rsid w:val="00B2770B"/>
    <w:rsid w:val="00B2779B"/>
    <w:rsid w:val="00B277F2"/>
    <w:rsid w:val="00B30ED8"/>
    <w:rsid w:val="00B30F45"/>
    <w:rsid w:val="00B31256"/>
    <w:rsid w:val="00B31940"/>
    <w:rsid w:val="00B3247D"/>
    <w:rsid w:val="00B324B0"/>
    <w:rsid w:val="00B32C51"/>
    <w:rsid w:val="00B32E59"/>
    <w:rsid w:val="00B33932"/>
    <w:rsid w:val="00B33B95"/>
    <w:rsid w:val="00B33FE2"/>
    <w:rsid w:val="00B34256"/>
    <w:rsid w:val="00B343E2"/>
    <w:rsid w:val="00B348A4"/>
    <w:rsid w:val="00B349E7"/>
    <w:rsid w:val="00B34B0F"/>
    <w:rsid w:val="00B34F92"/>
    <w:rsid w:val="00B353F9"/>
    <w:rsid w:val="00B354CF"/>
    <w:rsid w:val="00B35C3B"/>
    <w:rsid w:val="00B35DA3"/>
    <w:rsid w:val="00B361F8"/>
    <w:rsid w:val="00B362C7"/>
    <w:rsid w:val="00B36AA7"/>
    <w:rsid w:val="00B36BF6"/>
    <w:rsid w:val="00B40215"/>
    <w:rsid w:val="00B4392F"/>
    <w:rsid w:val="00B43AE8"/>
    <w:rsid w:val="00B43FA8"/>
    <w:rsid w:val="00B45155"/>
    <w:rsid w:val="00B453FF"/>
    <w:rsid w:val="00B45436"/>
    <w:rsid w:val="00B4582D"/>
    <w:rsid w:val="00B45AE8"/>
    <w:rsid w:val="00B46230"/>
    <w:rsid w:val="00B468BD"/>
    <w:rsid w:val="00B4777C"/>
    <w:rsid w:val="00B477F0"/>
    <w:rsid w:val="00B50534"/>
    <w:rsid w:val="00B50873"/>
    <w:rsid w:val="00B50E3B"/>
    <w:rsid w:val="00B5122A"/>
    <w:rsid w:val="00B51295"/>
    <w:rsid w:val="00B512BF"/>
    <w:rsid w:val="00B517DE"/>
    <w:rsid w:val="00B51E2C"/>
    <w:rsid w:val="00B51EEF"/>
    <w:rsid w:val="00B52716"/>
    <w:rsid w:val="00B52B74"/>
    <w:rsid w:val="00B530B3"/>
    <w:rsid w:val="00B531BA"/>
    <w:rsid w:val="00B5322E"/>
    <w:rsid w:val="00B5395B"/>
    <w:rsid w:val="00B53DD7"/>
    <w:rsid w:val="00B5411A"/>
    <w:rsid w:val="00B54238"/>
    <w:rsid w:val="00B54709"/>
    <w:rsid w:val="00B549C4"/>
    <w:rsid w:val="00B54D28"/>
    <w:rsid w:val="00B5591F"/>
    <w:rsid w:val="00B55ACA"/>
    <w:rsid w:val="00B5639A"/>
    <w:rsid w:val="00B5663E"/>
    <w:rsid w:val="00B56C35"/>
    <w:rsid w:val="00B56F84"/>
    <w:rsid w:val="00B57589"/>
    <w:rsid w:val="00B60048"/>
    <w:rsid w:val="00B601C8"/>
    <w:rsid w:val="00B6034D"/>
    <w:rsid w:val="00B60DD4"/>
    <w:rsid w:val="00B61020"/>
    <w:rsid w:val="00B615B2"/>
    <w:rsid w:val="00B61690"/>
    <w:rsid w:val="00B620B4"/>
    <w:rsid w:val="00B62B4B"/>
    <w:rsid w:val="00B6314A"/>
    <w:rsid w:val="00B635B3"/>
    <w:rsid w:val="00B636F8"/>
    <w:rsid w:val="00B63774"/>
    <w:rsid w:val="00B6387D"/>
    <w:rsid w:val="00B641D2"/>
    <w:rsid w:val="00B64924"/>
    <w:rsid w:val="00B64A7E"/>
    <w:rsid w:val="00B651E4"/>
    <w:rsid w:val="00B66ACE"/>
    <w:rsid w:val="00B66F8A"/>
    <w:rsid w:val="00B66FA2"/>
    <w:rsid w:val="00B66FCC"/>
    <w:rsid w:val="00B67338"/>
    <w:rsid w:val="00B679AD"/>
    <w:rsid w:val="00B67D6C"/>
    <w:rsid w:val="00B70990"/>
    <w:rsid w:val="00B70BB2"/>
    <w:rsid w:val="00B70D7F"/>
    <w:rsid w:val="00B70E70"/>
    <w:rsid w:val="00B7183C"/>
    <w:rsid w:val="00B71F40"/>
    <w:rsid w:val="00B721EA"/>
    <w:rsid w:val="00B72437"/>
    <w:rsid w:val="00B729A2"/>
    <w:rsid w:val="00B73111"/>
    <w:rsid w:val="00B732EB"/>
    <w:rsid w:val="00B732EF"/>
    <w:rsid w:val="00B73559"/>
    <w:rsid w:val="00B74169"/>
    <w:rsid w:val="00B74292"/>
    <w:rsid w:val="00B74EAB"/>
    <w:rsid w:val="00B74EE5"/>
    <w:rsid w:val="00B757D4"/>
    <w:rsid w:val="00B75F2D"/>
    <w:rsid w:val="00B76917"/>
    <w:rsid w:val="00B7752D"/>
    <w:rsid w:val="00B77C57"/>
    <w:rsid w:val="00B77EE2"/>
    <w:rsid w:val="00B80F46"/>
    <w:rsid w:val="00B81674"/>
    <w:rsid w:val="00B81686"/>
    <w:rsid w:val="00B8207B"/>
    <w:rsid w:val="00B83277"/>
    <w:rsid w:val="00B8586D"/>
    <w:rsid w:val="00B859BE"/>
    <w:rsid w:val="00B85CDD"/>
    <w:rsid w:val="00B85D8D"/>
    <w:rsid w:val="00B85E41"/>
    <w:rsid w:val="00B86370"/>
    <w:rsid w:val="00B865BD"/>
    <w:rsid w:val="00B86999"/>
    <w:rsid w:val="00B869E6"/>
    <w:rsid w:val="00B86D4A"/>
    <w:rsid w:val="00B87296"/>
    <w:rsid w:val="00B872D4"/>
    <w:rsid w:val="00B8792D"/>
    <w:rsid w:val="00B90083"/>
    <w:rsid w:val="00B901FA"/>
    <w:rsid w:val="00B902EF"/>
    <w:rsid w:val="00B9057E"/>
    <w:rsid w:val="00B910B6"/>
    <w:rsid w:val="00B916BF"/>
    <w:rsid w:val="00B9175D"/>
    <w:rsid w:val="00B918ED"/>
    <w:rsid w:val="00B91931"/>
    <w:rsid w:val="00B91AE1"/>
    <w:rsid w:val="00B91F1B"/>
    <w:rsid w:val="00B9209C"/>
    <w:rsid w:val="00B92129"/>
    <w:rsid w:val="00B9223D"/>
    <w:rsid w:val="00B928C1"/>
    <w:rsid w:val="00B92B2E"/>
    <w:rsid w:val="00B93E06"/>
    <w:rsid w:val="00B943A8"/>
    <w:rsid w:val="00B946A8"/>
    <w:rsid w:val="00B946BF"/>
    <w:rsid w:val="00B94714"/>
    <w:rsid w:val="00B95738"/>
    <w:rsid w:val="00B960C8"/>
    <w:rsid w:val="00B96757"/>
    <w:rsid w:val="00B969D2"/>
    <w:rsid w:val="00B96B48"/>
    <w:rsid w:val="00B96C7D"/>
    <w:rsid w:val="00B97655"/>
    <w:rsid w:val="00B97C60"/>
    <w:rsid w:val="00B97E88"/>
    <w:rsid w:val="00BA0AA5"/>
    <w:rsid w:val="00BA0BF9"/>
    <w:rsid w:val="00BA0F21"/>
    <w:rsid w:val="00BA109E"/>
    <w:rsid w:val="00BA219E"/>
    <w:rsid w:val="00BA2294"/>
    <w:rsid w:val="00BA24E8"/>
    <w:rsid w:val="00BA2A96"/>
    <w:rsid w:val="00BA2F7D"/>
    <w:rsid w:val="00BA3AD8"/>
    <w:rsid w:val="00BA3D2F"/>
    <w:rsid w:val="00BA3F0B"/>
    <w:rsid w:val="00BA4520"/>
    <w:rsid w:val="00BA53AF"/>
    <w:rsid w:val="00BA5E5A"/>
    <w:rsid w:val="00BA626D"/>
    <w:rsid w:val="00BA636B"/>
    <w:rsid w:val="00BA6553"/>
    <w:rsid w:val="00BA65A8"/>
    <w:rsid w:val="00BA6609"/>
    <w:rsid w:val="00BA67F7"/>
    <w:rsid w:val="00BA6A9C"/>
    <w:rsid w:val="00BA70AE"/>
    <w:rsid w:val="00BA74A4"/>
    <w:rsid w:val="00BB0222"/>
    <w:rsid w:val="00BB03E6"/>
    <w:rsid w:val="00BB0E6E"/>
    <w:rsid w:val="00BB160B"/>
    <w:rsid w:val="00BB1623"/>
    <w:rsid w:val="00BB16B9"/>
    <w:rsid w:val="00BB1755"/>
    <w:rsid w:val="00BB197F"/>
    <w:rsid w:val="00BB1C0E"/>
    <w:rsid w:val="00BB20AF"/>
    <w:rsid w:val="00BB2187"/>
    <w:rsid w:val="00BB266F"/>
    <w:rsid w:val="00BB289C"/>
    <w:rsid w:val="00BB294D"/>
    <w:rsid w:val="00BB2E16"/>
    <w:rsid w:val="00BB3584"/>
    <w:rsid w:val="00BB3F7E"/>
    <w:rsid w:val="00BB4469"/>
    <w:rsid w:val="00BB5A16"/>
    <w:rsid w:val="00BB637C"/>
    <w:rsid w:val="00BB63CF"/>
    <w:rsid w:val="00BB64CA"/>
    <w:rsid w:val="00BB731B"/>
    <w:rsid w:val="00BB79F9"/>
    <w:rsid w:val="00BB7BB3"/>
    <w:rsid w:val="00BC03FC"/>
    <w:rsid w:val="00BC0A8F"/>
    <w:rsid w:val="00BC179B"/>
    <w:rsid w:val="00BC1EFE"/>
    <w:rsid w:val="00BC2A4C"/>
    <w:rsid w:val="00BC32D3"/>
    <w:rsid w:val="00BC3A45"/>
    <w:rsid w:val="00BC3E93"/>
    <w:rsid w:val="00BC473B"/>
    <w:rsid w:val="00BC5B12"/>
    <w:rsid w:val="00BC5BBE"/>
    <w:rsid w:val="00BC5E41"/>
    <w:rsid w:val="00BC6205"/>
    <w:rsid w:val="00BC63C1"/>
    <w:rsid w:val="00BC7075"/>
    <w:rsid w:val="00BC71E1"/>
    <w:rsid w:val="00BC7887"/>
    <w:rsid w:val="00BC7F45"/>
    <w:rsid w:val="00BD0119"/>
    <w:rsid w:val="00BD0876"/>
    <w:rsid w:val="00BD0ED2"/>
    <w:rsid w:val="00BD10EB"/>
    <w:rsid w:val="00BD134B"/>
    <w:rsid w:val="00BD15C3"/>
    <w:rsid w:val="00BD17BC"/>
    <w:rsid w:val="00BD1B47"/>
    <w:rsid w:val="00BD1E36"/>
    <w:rsid w:val="00BD20B8"/>
    <w:rsid w:val="00BD3258"/>
    <w:rsid w:val="00BD40AB"/>
    <w:rsid w:val="00BD417D"/>
    <w:rsid w:val="00BD58B0"/>
    <w:rsid w:val="00BD5A42"/>
    <w:rsid w:val="00BD5C84"/>
    <w:rsid w:val="00BD67C7"/>
    <w:rsid w:val="00BD6BE9"/>
    <w:rsid w:val="00BD765B"/>
    <w:rsid w:val="00BD7C59"/>
    <w:rsid w:val="00BD7FA3"/>
    <w:rsid w:val="00BD7FD1"/>
    <w:rsid w:val="00BE0649"/>
    <w:rsid w:val="00BE1136"/>
    <w:rsid w:val="00BE1AEC"/>
    <w:rsid w:val="00BE2523"/>
    <w:rsid w:val="00BE2B2C"/>
    <w:rsid w:val="00BE2F9B"/>
    <w:rsid w:val="00BE44A7"/>
    <w:rsid w:val="00BE4B69"/>
    <w:rsid w:val="00BE4CA3"/>
    <w:rsid w:val="00BE4DF4"/>
    <w:rsid w:val="00BE5003"/>
    <w:rsid w:val="00BE508A"/>
    <w:rsid w:val="00BE52EF"/>
    <w:rsid w:val="00BE56FF"/>
    <w:rsid w:val="00BE5923"/>
    <w:rsid w:val="00BE64BB"/>
    <w:rsid w:val="00BE6508"/>
    <w:rsid w:val="00BE688E"/>
    <w:rsid w:val="00BE70DA"/>
    <w:rsid w:val="00BE7802"/>
    <w:rsid w:val="00BE7E15"/>
    <w:rsid w:val="00BF0236"/>
    <w:rsid w:val="00BF08E1"/>
    <w:rsid w:val="00BF09C3"/>
    <w:rsid w:val="00BF0B07"/>
    <w:rsid w:val="00BF2576"/>
    <w:rsid w:val="00BF27E7"/>
    <w:rsid w:val="00BF282C"/>
    <w:rsid w:val="00BF3033"/>
    <w:rsid w:val="00BF317C"/>
    <w:rsid w:val="00BF39D7"/>
    <w:rsid w:val="00BF3B76"/>
    <w:rsid w:val="00BF472E"/>
    <w:rsid w:val="00BF4C7C"/>
    <w:rsid w:val="00BF4D34"/>
    <w:rsid w:val="00BF4F26"/>
    <w:rsid w:val="00BF50C1"/>
    <w:rsid w:val="00BF53DF"/>
    <w:rsid w:val="00BF5778"/>
    <w:rsid w:val="00BF5E8F"/>
    <w:rsid w:val="00BF5F4A"/>
    <w:rsid w:val="00BF5FC1"/>
    <w:rsid w:val="00BF6157"/>
    <w:rsid w:val="00BF6D2A"/>
    <w:rsid w:val="00BF7047"/>
    <w:rsid w:val="00BF71B6"/>
    <w:rsid w:val="00BF750E"/>
    <w:rsid w:val="00BF7622"/>
    <w:rsid w:val="00BF7F11"/>
    <w:rsid w:val="00C00645"/>
    <w:rsid w:val="00C00FE9"/>
    <w:rsid w:val="00C01CF5"/>
    <w:rsid w:val="00C01ECC"/>
    <w:rsid w:val="00C0260E"/>
    <w:rsid w:val="00C02835"/>
    <w:rsid w:val="00C02E3D"/>
    <w:rsid w:val="00C03471"/>
    <w:rsid w:val="00C03583"/>
    <w:rsid w:val="00C041F9"/>
    <w:rsid w:val="00C042BF"/>
    <w:rsid w:val="00C04BF7"/>
    <w:rsid w:val="00C05547"/>
    <w:rsid w:val="00C05655"/>
    <w:rsid w:val="00C057A7"/>
    <w:rsid w:val="00C05925"/>
    <w:rsid w:val="00C066CB"/>
    <w:rsid w:val="00C069CA"/>
    <w:rsid w:val="00C071B0"/>
    <w:rsid w:val="00C07562"/>
    <w:rsid w:val="00C07683"/>
    <w:rsid w:val="00C07B23"/>
    <w:rsid w:val="00C07D03"/>
    <w:rsid w:val="00C07F52"/>
    <w:rsid w:val="00C1011D"/>
    <w:rsid w:val="00C101C3"/>
    <w:rsid w:val="00C103A3"/>
    <w:rsid w:val="00C10A2E"/>
    <w:rsid w:val="00C10D53"/>
    <w:rsid w:val="00C10F49"/>
    <w:rsid w:val="00C11327"/>
    <w:rsid w:val="00C115C7"/>
    <w:rsid w:val="00C11BD2"/>
    <w:rsid w:val="00C13A70"/>
    <w:rsid w:val="00C13DE9"/>
    <w:rsid w:val="00C13E14"/>
    <w:rsid w:val="00C1413C"/>
    <w:rsid w:val="00C1495E"/>
    <w:rsid w:val="00C14B61"/>
    <w:rsid w:val="00C14C30"/>
    <w:rsid w:val="00C14F28"/>
    <w:rsid w:val="00C14F68"/>
    <w:rsid w:val="00C14F6A"/>
    <w:rsid w:val="00C152C2"/>
    <w:rsid w:val="00C15612"/>
    <w:rsid w:val="00C159F8"/>
    <w:rsid w:val="00C1621D"/>
    <w:rsid w:val="00C164DA"/>
    <w:rsid w:val="00C16B12"/>
    <w:rsid w:val="00C174D5"/>
    <w:rsid w:val="00C17D65"/>
    <w:rsid w:val="00C20FF3"/>
    <w:rsid w:val="00C210D2"/>
    <w:rsid w:val="00C2146E"/>
    <w:rsid w:val="00C215B6"/>
    <w:rsid w:val="00C21BD7"/>
    <w:rsid w:val="00C21CE7"/>
    <w:rsid w:val="00C21EC5"/>
    <w:rsid w:val="00C2358A"/>
    <w:rsid w:val="00C2373B"/>
    <w:rsid w:val="00C238F3"/>
    <w:rsid w:val="00C23AA9"/>
    <w:rsid w:val="00C23E7C"/>
    <w:rsid w:val="00C2421C"/>
    <w:rsid w:val="00C24916"/>
    <w:rsid w:val="00C24E53"/>
    <w:rsid w:val="00C265F3"/>
    <w:rsid w:val="00C26AA9"/>
    <w:rsid w:val="00C26FC1"/>
    <w:rsid w:val="00C27672"/>
    <w:rsid w:val="00C2775C"/>
    <w:rsid w:val="00C27859"/>
    <w:rsid w:val="00C27D8C"/>
    <w:rsid w:val="00C307D1"/>
    <w:rsid w:val="00C31229"/>
    <w:rsid w:val="00C312F3"/>
    <w:rsid w:val="00C313F6"/>
    <w:rsid w:val="00C316A5"/>
    <w:rsid w:val="00C31924"/>
    <w:rsid w:val="00C31A8D"/>
    <w:rsid w:val="00C31CBA"/>
    <w:rsid w:val="00C32696"/>
    <w:rsid w:val="00C32B17"/>
    <w:rsid w:val="00C32FBC"/>
    <w:rsid w:val="00C338D1"/>
    <w:rsid w:val="00C33A91"/>
    <w:rsid w:val="00C33BEA"/>
    <w:rsid w:val="00C35B4A"/>
    <w:rsid w:val="00C36284"/>
    <w:rsid w:val="00C371FA"/>
    <w:rsid w:val="00C37E37"/>
    <w:rsid w:val="00C37ECB"/>
    <w:rsid w:val="00C40A4E"/>
    <w:rsid w:val="00C40BCD"/>
    <w:rsid w:val="00C41298"/>
    <w:rsid w:val="00C41506"/>
    <w:rsid w:val="00C417E5"/>
    <w:rsid w:val="00C41BFF"/>
    <w:rsid w:val="00C41C93"/>
    <w:rsid w:val="00C41E29"/>
    <w:rsid w:val="00C42D53"/>
    <w:rsid w:val="00C431AC"/>
    <w:rsid w:val="00C436AF"/>
    <w:rsid w:val="00C43726"/>
    <w:rsid w:val="00C43883"/>
    <w:rsid w:val="00C439D3"/>
    <w:rsid w:val="00C43CFF"/>
    <w:rsid w:val="00C444AB"/>
    <w:rsid w:val="00C44508"/>
    <w:rsid w:val="00C445F4"/>
    <w:rsid w:val="00C44A98"/>
    <w:rsid w:val="00C4509A"/>
    <w:rsid w:val="00C454D3"/>
    <w:rsid w:val="00C4583A"/>
    <w:rsid w:val="00C4589A"/>
    <w:rsid w:val="00C458E4"/>
    <w:rsid w:val="00C46536"/>
    <w:rsid w:val="00C465EE"/>
    <w:rsid w:val="00C46EB4"/>
    <w:rsid w:val="00C470A6"/>
    <w:rsid w:val="00C5002C"/>
    <w:rsid w:val="00C50FBC"/>
    <w:rsid w:val="00C51356"/>
    <w:rsid w:val="00C516D5"/>
    <w:rsid w:val="00C51744"/>
    <w:rsid w:val="00C52342"/>
    <w:rsid w:val="00C52528"/>
    <w:rsid w:val="00C52891"/>
    <w:rsid w:val="00C52B55"/>
    <w:rsid w:val="00C52FD6"/>
    <w:rsid w:val="00C53806"/>
    <w:rsid w:val="00C544FE"/>
    <w:rsid w:val="00C54783"/>
    <w:rsid w:val="00C5490A"/>
    <w:rsid w:val="00C54A49"/>
    <w:rsid w:val="00C54C19"/>
    <w:rsid w:val="00C54C41"/>
    <w:rsid w:val="00C558D7"/>
    <w:rsid w:val="00C56238"/>
    <w:rsid w:val="00C5650A"/>
    <w:rsid w:val="00C57AAA"/>
    <w:rsid w:val="00C57F42"/>
    <w:rsid w:val="00C604A6"/>
    <w:rsid w:val="00C60D7D"/>
    <w:rsid w:val="00C618B8"/>
    <w:rsid w:val="00C626C4"/>
    <w:rsid w:val="00C628ED"/>
    <w:rsid w:val="00C62BF3"/>
    <w:rsid w:val="00C62F71"/>
    <w:rsid w:val="00C63EF7"/>
    <w:rsid w:val="00C6494E"/>
    <w:rsid w:val="00C659DD"/>
    <w:rsid w:val="00C65C35"/>
    <w:rsid w:val="00C65F0E"/>
    <w:rsid w:val="00C6650F"/>
    <w:rsid w:val="00C66764"/>
    <w:rsid w:val="00C66863"/>
    <w:rsid w:val="00C66969"/>
    <w:rsid w:val="00C6758C"/>
    <w:rsid w:val="00C7009F"/>
    <w:rsid w:val="00C7125A"/>
    <w:rsid w:val="00C71BAB"/>
    <w:rsid w:val="00C7281A"/>
    <w:rsid w:val="00C72EB5"/>
    <w:rsid w:val="00C73779"/>
    <w:rsid w:val="00C738ED"/>
    <w:rsid w:val="00C73E81"/>
    <w:rsid w:val="00C74F55"/>
    <w:rsid w:val="00C751EE"/>
    <w:rsid w:val="00C75796"/>
    <w:rsid w:val="00C75D0D"/>
    <w:rsid w:val="00C75D16"/>
    <w:rsid w:val="00C75E3F"/>
    <w:rsid w:val="00C75F5B"/>
    <w:rsid w:val="00C7605B"/>
    <w:rsid w:val="00C76D21"/>
    <w:rsid w:val="00C76F28"/>
    <w:rsid w:val="00C770BE"/>
    <w:rsid w:val="00C77202"/>
    <w:rsid w:val="00C773E2"/>
    <w:rsid w:val="00C80086"/>
    <w:rsid w:val="00C8061D"/>
    <w:rsid w:val="00C807A0"/>
    <w:rsid w:val="00C80977"/>
    <w:rsid w:val="00C80FDD"/>
    <w:rsid w:val="00C8173A"/>
    <w:rsid w:val="00C81D7F"/>
    <w:rsid w:val="00C81E30"/>
    <w:rsid w:val="00C8268F"/>
    <w:rsid w:val="00C82CB7"/>
    <w:rsid w:val="00C82DF7"/>
    <w:rsid w:val="00C82F00"/>
    <w:rsid w:val="00C82F83"/>
    <w:rsid w:val="00C83D7F"/>
    <w:rsid w:val="00C83FFC"/>
    <w:rsid w:val="00C843AE"/>
    <w:rsid w:val="00C847C7"/>
    <w:rsid w:val="00C84E03"/>
    <w:rsid w:val="00C8557E"/>
    <w:rsid w:val="00C85984"/>
    <w:rsid w:val="00C85B8A"/>
    <w:rsid w:val="00C85BF1"/>
    <w:rsid w:val="00C85C8B"/>
    <w:rsid w:val="00C86CC1"/>
    <w:rsid w:val="00C86D17"/>
    <w:rsid w:val="00C873DD"/>
    <w:rsid w:val="00C876CE"/>
    <w:rsid w:val="00C87FEF"/>
    <w:rsid w:val="00C90157"/>
    <w:rsid w:val="00C9032A"/>
    <w:rsid w:val="00C904F4"/>
    <w:rsid w:val="00C90749"/>
    <w:rsid w:val="00C909CA"/>
    <w:rsid w:val="00C91ECC"/>
    <w:rsid w:val="00C91EEF"/>
    <w:rsid w:val="00C92DA1"/>
    <w:rsid w:val="00C93255"/>
    <w:rsid w:val="00C933B0"/>
    <w:rsid w:val="00C93724"/>
    <w:rsid w:val="00C9398A"/>
    <w:rsid w:val="00C93A9D"/>
    <w:rsid w:val="00C94627"/>
    <w:rsid w:val="00C94E32"/>
    <w:rsid w:val="00C95540"/>
    <w:rsid w:val="00C96147"/>
    <w:rsid w:val="00C9634E"/>
    <w:rsid w:val="00C96B9F"/>
    <w:rsid w:val="00C97392"/>
    <w:rsid w:val="00C97D0B"/>
    <w:rsid w:val="00CA0632"/>
    <w:rsid w:val="00CA0671"/>
    <w:rsid w:val="00CA09CF"/>
    <w:rsid w:val="00CA0F14"/>
    <w:rsid w:val="00CA124A"/>
    <w:rsid w:val="00CA209E"/>
    <w:rsid w:val="00CA2426"/>
    <w:rsid w:val="00CA293E"/>
    <w:rsid w:val="00CA3B58"/>
    <w:rsid w:val="00CA3DE5"/>
    <w:rsid w:val="00CA4084"/>
    <w:rsid w:val="00CA432A"/>
    <w:rsid w:val="00CA473C"/>
    <w:rsid w:val="00CA54C3"/>
    <w:rsid w:val="00CA5E67"/>
    <w:rsid w:val="00CA6575"/>
    <w:rsid w:val="00CA66F4"/>
    <w:rsid w:val="00CA6B16"/>
    <w:rsid w:val="00CA6B71"/>
    <w:rsid w:val="00CA6D0E"/>
    <w:rsid w:val="00CA774F"/>
    <w:rsid w:val="00CA7E96"/>
    <w:rsid w:val="00CB046F"/>
    <w:rsid w:val="00CB0921"/>
    <w:rsid w:val="00CB16CB"/>
    <w:rsid w:val="00CB1A0C"/>
    <w:rsid w:val="00CB1D5C"/>
    <w:rsid w:val="00CB1FB2"/>
    <w:rsid w:val="00CB2337"/>
    <w:rsid w:val="00CB23AF"/>
    <w:rsid w:val="00CB2453"/>
    <w:rsid w:val="00CB27E7"/>
    <w:rsid w:val="00CB2BE4"/>
    <w:rsid w:val="00CB2CB8"/>
    <w:rsid w:val="00CB2F3D"/>
    <w:rsid w:val="00CB3EFC"/>
    <w:rsid w:val="00CB46C5"/>
    <w:rsid w:val="00CB4738"/>
    <w:rsid w:val="00CB47B0"/>
    <w:rsid w:val="00CB4AFA"/>
    <w:rsid w:val="00CB522D"/>
    <w:rsid w:val="00CB60F3"/>
    <w:rsid w:val="00CB6318"/>
    <w:rsid w:val="00CB6553"/>
    <w:rsid w:val="00CB67AA"/>
    <w:rsid w:val="00CB76A1"/>
    <w:rsid w:val="00CC00D5"/>
    <w:rsid w:val="00CC2299"/>
    <w:rsid w:val="00CC2AA9"/>
    <w:rsid w:val="00CC2C4E"/>
    <w:rsid w:val="00CC359F"/>
    <w:rsid w:val="00CC3CC8"/>
    <w:rsid w:val="00CC558A"/>
    <w:rsid w:val="00CC5D1B"/>
    <w:rsid w:val="00CC5D55"/>
    <w:rsid w:val="00CC66BB"/>
    <w:rsid w:val="00CC6AFE"/>
    <w:rsid w:val="00CC6BE7"/>
    <w:rsid w:val="00CC6C31"/>
    <w:rsid w:val="00CC78D5"/>
    <w:rsid w:val="00CC7903"/>
    <w:rsid w:val="00CC7BF1"/>
    <w:rsid w:val="00CD11E6"/>
    <w:rsid w:val="00CD23E5"/>
    <w:rsid w:val="00CD277A"/>
    <w:rsid w:val="00CD2D83"/>
    <w:rsid w:val="00CD44B3"/>
    <w:rsid w:val="00CD44FC"/>
    <w:rsid w:val="00CD5EF4"/>
    <w:rsid w:val="00CD7A1C"/>
    <w:rsid w:val="00CD7CD3"/>
    <w:rsid w:val="00CD7E2E"/>
    <w:rsid w:val="00CE0511"/>
    <w:rsid w:val="00CE0E3C"/>
    <w:rsid w:val="00CE1322"/>
    <w:rsid w:val="00CE1C37"/>
    <w:rsid w:val="00CE22B2"/>
    <w:rsid w:val="00CE23E7"/>
    <w:rsid w:val="00CE26A5"/>
    <w:rsid w:val="00CE3086"/>
    <w:rsid w:val="00CE3138"/>
    <w:rsid w:val="00CE33D0"/>
    <w:rsid w:val="00CE37C3"/>
    <w:rsid w:val="00CE399D"/>
    <w:rsid w:val="00CE3AC6"/>
    <w:rsid w:val="00CE3B90"/>
    <w:rsid w:val="00CE3D2B"/>
    <w:rsid w:val="00CE41D5"/>
    <w:rsid w:val="00CE4892"/>
    <w:rsid w:val="00CE5247"/>
    <w:rsid w:val="00CE5791"/>
    <w:rsid w:val="00CE5974"/>
    <w:rsid w:val="00CE5B53"/>
    <w:rsid w:val="00CE6ABF"/>
    <w:rsid w:val="00CE6CA9"/>
    <w:rsid w:val="00CE6ED8"/>
    <w:rsid w:val="00CE756A"/>
    <w:rsid w:val="00CE7707"/>
    <w:rsid w:val="00CE7CDE"/>
    <w:rsid w:val="00CE7D86"/>
    <w:rsid w:val="00CF0BA2"/>
    <w:rsid w:val="00CF0D32"/>
    <w:rsid w:val="00CF13CD"/>
    <w:rsid w:val="00CF186F"/>
    <w:rsid w:val="00CF22DA"/>
    <w:rsid w:val="00CF25BF"/>
    <w:rsid w:val="00CF275B"/>
    <w:rsid w:val="00CF2C8C"/>
    <w:rsid w:val="00CF2D15"/>
    <w:rsid w:val="00CF2EC2"/>
    <w:rsid w:val="00CF33C2"/>
    <w:rsid w:val="00CF3F7F"/>
    <w:rsid w:val="00CF3F80"/>
    <w:rsid w:val="00CF44A9"/>
    <w:rsid w:val="00CF45B8"/>
    <w:rsid w:val="00CF492D"/>
    <w:rsid w:val="00CF4A3D"/>
    <w:rsid w:val="00CF4E4C"/>
    <w:rsid w:val="00CF5E13"/>
    <w:rsid w:val="00CF604D"/>
    <w:rsid w:val="00CF63C6"/>
    <w:rsid w:val="00CF67B0"/>
    <w:rsid w:val="00CF6F13"/>
    <w:rsid w:val="00CF73AB"/>
    <w:rsid w:val="00CF743C"/>
    <w:rsid w:val="00CF764A"/>
    <w:rsid w:val="00CF7782"/>
    <w:rsid w:val="00CF7903"/>
    <w:rsid w:val="00D0044F"/>
    <w:rsid w:val="00D004DA"/>
    <w:rsid w:val="00D00AC3"/>
    <w:rsid w:val="00D00D1C"/>
    <w:rsid w:val="00D00D48"/>
    <w:rsid w:val="00D01695"/>
    <w:rsid w:val="00D01826"/>
    <w:rsid w:val="00D018E3"/>
    <w:rsid w:val="00D0253B"/>
    <w:rsid w:val="00D026B9"/>
    <w:rsid w:val="00D02A8F"/>
    <w:rsid w:val="00D02C60"/>
    <w:rsid w:val="00D02D5F"/>
    <w:rsid w:val="00D03344"/>
    <w:rsid w:val="00D040C0"/>
    <w:rsid w:val="00D04F08"/>
    <w:rsid w:val="00D0500F"/>
    <w:rsid w:val="00D0549D"/>
    <w:rsid w:val="00D056D7"/>
    <w:rsid w:val="00D05CEC"/>
    <w:rsid w:val="00D05CF1"/>
    <w:rsid w:val="00D061AD"/>
    <w:rsid w:val="00D07B6D"/>
    <w:rsid w:val="00D07EAA"/>
    <w:rsid w:val="00D10203"/>
    <w:rsid w:val="00D10CEC"/>
    <w:rsid w:val="00D11CC1"/>
    <w:rsid w:val="00D12664"/>
    <w:rsid w:val="00D13442"/>
    <w:rsid w:val="00D14288"/>
    <w:rsid w:val="00D144A4"/>
    <w:rsid w:val="00D14F1D"/>
    <w:rsid w:val="00D15451"/>
    <w:rsid w:val="00D15CCF"/>
    <w:rsid w:val="00D163F0"/>
    <w:rsid w:val="00D169B3"/>
    <w:rsid w:val="00D16E6D"/>
    <w:rsid w:val="00D17600"/>
    <w:rsid w:val="00D2008E"/>
    <w:rsid w:val="00D203E5"/>
    <w:rsid w:val="00D211F7"/>
    <w:rsid w:val="00D21884"/>
    <w:rsid w:val="00D22313"/>
    <w:rsid w:val="00D22462"/>
    <w:rsid w:val="00D227F0"/>
    <w:rsid w:val="00D2292E"/>
    <w:rsid w:val="00D22F8C"/>
    <w:rsid w:val="00D22FE4"/>
    <w:rsid w:val="00D232AD"/>
    <w:rsid w:val="00D233FA"/>
    <w:rsid w:val="00D234C1"/>
    <w:rsid w:val="00D23572"/>
    <w:rsid w:val="00D23D22"/>
    <w:rsid w:val="00D24719"/>
    <w:rsid w:val="00D24A5E"/>
    <w:rsid w:val="00D24D7D"/>
    <w:rsid w:val="00D25162"/>
    <w:rsid w:val="00D25839"/>
    <w:rsid w:val="00D25EB2"/>
    <w:rsid w:val="00D26F7D"/>
    <w:rsid w:val="00D27B6F"/>
    <w:rsid w:val="00D30704"/>
    <w:rsid w:val="00D30B1F"/>
    <w:rsid w:val="00D311B2"/>
    <w:rsid w:val="00D31624"/>
    <w:rsid w:val="00D31940"/>
    <w:rsid w:val="00D326D3"/>
    <w:rsid w:val="00D32875"/>
    <w:rsid w:val="00D32F6D"/>
    <w:rsid w:val="00D33467"/>
    <w:rsid w:val="00D33729"/>
    <w:rsid w:val="00D338EE"/>
    <w:rsid w:val="00D33965"/>
    <w:rsid w:val="00D33967"/>
    <w:rsid w:val="00D33A60"/>
    <w:rsid w:val="00D33E1C"/>
    <w:rsid w:val="00D34106"/>
    <w:rsid w:val="00D342B5"/>
    <w:rsid w:val="00D3467F"/>
    <w:rsid w:val="00D346E0"/>
    <w:rsid w:val="00D34A7C"/>
    <w:rsid w:val="00D34AB9"/>
    <w:rsid w:val="00D34B2D"/>
    <w:rsid w:val="00D34BB1"/>
    <w:rsid w:val="00D34BDF"/>
    <w:rsid w:val="00D34CA9"/>
    <w:rsid w:val="00D35982"/>
    <w:rsid w:val="00D359D2"/>
    <w:rsid w:val="00D36B1C"/>
    <w:rsid w:val="00D36D40"/>
    <w:rsid w:val="00D37238"/>
    <w:rsid w:val="00D3757D"/>
    <w:rsid w:val="00D37D77"/>
    <w:rsid w:val="00D404C1"/>
    <w:rsid w:val="00D4063B"/>
    <w:rsid w:val="00D40809"/>
    <w:rsid w:val="00D409F1"/>
    <w:rsid w:val="00D41137"/>
    <w:rsid w:val="00D412DC"/>
    <w:rsid w:val="00D41523"/>
    <w:rsid w:val="00D41A1C"/>
    <w:rsid w:val="00D41D69"/>
    <w:rsid w:val="00D41E53"/>
    <w:rsid w:val="00D41EC7"/>
    <w:rsid w:val="00D44395"/>
    <w:rsid w:val="00D44E27"/>
    <w:rsid w:val="00D44F28"/>
    <w:rsid w:val="00D45BCB"/>
    <w:rsid w:val="00D465ED"/>
    <w:rsid w:val="00D4660E"/>
    <w:rsid w:val="00D46764"/>
    <w:rsid w:val="00D46AE7"/>
    <w:rsid w:val="00D46BEF"/>
    <w:rsid w:val="00D46F5A"/>
    <w:rsid w:val="00D47036"/>
    <w:rsid w:val="00D478B9"/>
    <w:rsid w:val="00D506F2"/>
    <w:rsid w:val="00D5070C"/>
    <w:rsid w:val="00D526F3"/>
    <w:rsid w:val="00D52C59"/>
    <w:rsid w:val="00D53469"/>
    <w:rsid w:val="00D53487"/>
    <w:rsid w:val="00D534BD"/>
    <w:rsid w:val="00D5489D"/>
    <w:rsid w:val="00D5509A"/>
    <w:rsid w:val="00D553F4"/>
    <w:rsid w:val="00D569E2"/>
    <w:rsid w:val="00D56C2F"/>
    <w:rsid w:val="00D57191"/>
    <w:rsid w:val="00D57408"/>
    <w:rsid w:val="00D60557"/>
    <w:rsid w:val="00D61FE6"/>
    <w:rsid w:val="00D62239"/>
    <w:rsid w:val="00D62606"/>
    <w:rsid w:val="00D626B8"/>
    <w:rsid w:val="00D627BA"/>
    <w:rsid w:val="00D62960"/>
    <w:rsid w:val="00D636E7"/>
    <w:rsid w:val="00D64273"/>
    <w:rsid w:val="00D64415"/>
    <w:rsid w:val="00D645E8"/>
    <w:rsid w:val="00D64B3F"/>
    <w:rsid w:val="00D65051"/>
    <w:rsid w:val="00D6528C"/>
    <w:rsid w:val="00D65D70"/>
    <w:rsid w:val="00D66116"/>
    <w:rsid w:val="00D66208"/>
    <w:rsid w:val="00D664F4"/>
    <w:rsid w:val="00D6659D"/>
    <w:rsid w:val="00D66716"/>
    <w:rsid w:val="00D66934"/>
    <w:rsid w:val="00D66B7F"/>
    <w:rsid w:val="00D66D85"/>
    <w:rsid w:val="00D67170"/>
    <w:rsid w:val="00D672A6"/>
    <w:rsid w:val="00D67634"/>
    <w:rsid w:val="00D67768"/>
    <w:rsid w:val="00D67A9F"/>
    <w:rsid w:val="00D67AA6"/>
    <w:rsid w:val="00D67CDE"/>
    <w:rsid w:val="00D708B3"/>
    <w:rsid w:val="00D70AB4"/>
    <w:rsid w:val="00D711EC"/>
    <w:rsid w:val="00D712C8"/>
    <w:rsid w:val="00D717FA"/>
    <w:rsid w:val="00D718C5"/>
    <w:rsid w:val="00D71EFF"/>
    <w:rsid w:val="00D72321"/>
    <w:rsid w:val="00D726C2"/>
    <w:rsid w:val="00D73B94"/>
    <w:rsid w:val="00D73BF7"/>
    <w:rsid w:val="00D73F51"/>
    <w:rsid w:val="00D746F3"/>
    <w:rsid w:val="00D7522E"/>
    <w:rsid w:val="00D75525"/>
    <w:rsid w:val="00D75F1F"/>
    <w:rsid w:val="00D760F1"/>
    <w:rsid w:val="00D766CC"/>
    <w:rsid w:val="00D7671C"/>
    <w:rsid w:val="00D77129"/>
    <w:rsid w:val="00D77C06"/>
    <w:rsid w:val="00D8060B"/>
    <w:rsid w:val="00D80ED6"/>
    <w:rsid w:val="00D81752"/>
    <w:rsid w:val="00D81EBE"/>
    <w:rsid w:val="00D820E5"/>
    <w:rsid w:val="00D822D7"/>
    <w:rsid w:val="00D82695"/>
    <w:rsid w:val="00D8284C"/>
    <w:rsid w:val="00D82A9D"/>
    <w:rsid w:val="00D82AB3"/>
    <w:rsid w:val="00D83492"/>
    <w:rsid w:val="00D839B6"/>
    <w:rsid w:val="00D840CE"/>
    <w:rsid w:val="00D84107"/>
    <w:rsid w:val="00D843D1"/>
    <w:rsid w:val="00D85118"/>
    <w:rsid w:val="00D85179"/>
    <w:rsid w:val="00D85342"/>
    <w:rsid w:val="00D85347"/>
    <w:rsid w:val="00D8546C"/>
    <w:rsid w:val="00D867C8"/>
    <w:rsid w:val="00D86D49"/>
    <w:rsid w:val="00D86E7B"/>
    <w:rsid w:val="00D86EAE"/>
    <w:rsid w:val="00D872FE"/>
    <w:rsid w:val="00D874D1"/>
    <w:rsid w:val="00D879E6"/>
    <w:rsid w:val="00D87AF6"/>
    <w:rsid w:val="00D9159D"/>
    <w:rsid w:val="00D92D5C"/>
    <w:rsid w:val="00D93180"/>
    <w:rsid w:val="00D93763"/>
    <w:rsid w:val="00D93DA6"/>
    <w:rsid w:val="00D93F42"/>
    <w:rsid w:val="00D93F77"/>
    <w:rsid w:val="00D94B5B"/>
    <w:rsid w:val="00D94BCD"/>
    <w:rsid w:val="00D94D89"/>
    <w:rsid w:val="00D95232"/>
    <w:rsid w:val="00D95503"/>
    <w:rsid w:val="00D9564C"/>
    <w:rsid w:val="00D95C8C"/>
    <w:rsid w:val="00D95CB2"/>
    <w:rsid w:val="00D95E4E"/>
    <w:rsid w:val="00D961E0"/>
    <w:rsid w:val="00D96261"/>
    <w:rsid w:val="00D96EF5"/>
    <w:rsid w:val="00D9748A"/>
    <w:rsid w:val="00D976B6"/>
    <w:rsid w:val="00D979CB"/>
    <w:rsid w:val="00D97B5C"/>
    <w:rsid w:val="00DA01B1"/>
    <w:rsid w:val="00DA0794"/>
    <w:rsid w:val="00DA0CB0"/>
    <w:rsid w:val="00DA0E1B"/>
    <w:rsid w:val="00DA1582"/>
    <w:rsid w:val="00DA17E3"/>
    <w:rsid w:val="00DA1AAD"/>
    <w:rsid w:val="00DA2357"/>
    <w:rsid w:val="00DA2A78"/>
    <w:rsid w:val="00DA2FFF"/>
    <w:rsid w:val="00DA3BAC"/>
    <w:rsid w:val="00DA3BE0"/>
    <w:rsid w:val="00DA3BF3"/>
    <w:rsid w:val="00DA4283"/>
    <w:rsid w:val="00DA4858"/>
    <w:rsid w:val="00DA496D"/>
    <w:rsid w:val="00DA4A9D"/>
    <w:rsid w:val="00DA4BC2"/>
    <w:rsid w:val="00DA55D8"/>
    <w:rsid w:val="00DA55E3"/>
    <w:rsid w:val="00DA57EE"/>
    <w:rsid w:val="00DA5E60"/>
    <w:rsid w:val="00DA5EC0"/>
    <w:rsid w:val="00DA661D"/>
    <w:rsid w:val="00DA6793"/>
    <w:rsid w:val="00DA77B8"/>
    <w:rsid w:val="00DA79DE"/>
    <w:rsid w:val="00DA7A6F"/>
    <w:rsid w:val="00DA7BA4"/>
    <w:rsid w:val="00DA7BA8"/>
    <w:rsid w:val="00DA7E62"/>
    <w:rsid w:val="00DA7F10"/>
    <w:rsid w:val="00DA7F7D"/>
    <w:rsid w:val="00DB06EA"/>
    <w:rsid w:val="00DB08E0"/>
    <w:rsid w:val="00DB178F"/>
    <w:rsid w:val="00DB1843"/>
    <w:rsid w:val="00DB1AF9"/>
    <w:rsid w:val="00DB21E9"/>
    <w:rsid w:val="00DB2214"/>
    <w:rsid w:val="00DB2416"/>
    <w:rsid w:val="00DB25F5"/>
    <w:rsid w:val="00DB2614"/>
    <w:rsid w:val="00DB2EAE"/>
    <w:rsid w:val="00DB315D"/>
    <w:rsid w:val="00DB3828"/>
    <w:rsid w:val="00DB3A87"/>
    <w:rsid w:val="00DB4749"/>
    <w:rsid w:val="00DB4945"/>
    <w:rsid w:val="00DB4A46"/>
    <w:rsid w:val="00DB4C1F"/>
    <w:rsid w:val="00DB4D17"/>
    <w:rsid w:val="00DB4E80"/>
    <w:rsid w:val="00DB4F87"/>
    <w:rsid w:val="00DB5348"/>
    <w:rsid w:val="00DB53D7"/>
    <w:rsid w:val="00DB5420"/>
    <w:rsid w:val="00DB5468"/>
    <w:rsid w:val="00DB56EA"/>
    <w:rsid w:val="00DB60AE"/>
    <w:rsid w:val="00DB6919"/>
    <w:rsid w:val="00DB6A78"/>
    <w:rsid w:val="00DB6CBC"/>
    <w:rsid w:val="00DC0022"/>
    <w:rsid w:val="00DC0E7C"/>
    <w:rsid w:val="00DC1BEF"/>
    <w:rsid w:val="00DC247D"/>
    <w:rsid w:val="00DC2553"/>
    <w:rsid w:val="00DC2731"/>
    <w:rsid w:val="00DC3876"/>
    <w:rsid w:val="00DC3BDE"/>
    <w:rsid w:val="00DC4061"/>
    <w:rsid w:val="00DC41E2"/>
    <w:rsid w:val="00DC421E"/>
    <w:rsid w:val="00DC4EEA"/>
    <w:rsid w:val="00DC4F9A"/>
    <w:rsid w:val="00DC5A99"/>
    <w:rsid w:val="00DC5EBF"/>
    <w:rsid w:val="00DC61FA"/>
    <w:rsid w:val="00DC624A"/>
    <w:rsid w:val="00DC6465"/>
    <w:rsid w:val="00DC67FB"/>
    <w:rsid w:val="00DC785B"/>
    <w:rsid w:val="00DD0823"/>
    <w:rsid w:val="00DD0BD5"/>
    <w:rsid w:val="00DD0C51"/>
    <w:rsid w:val="00DD0E25"/>
    <w:rsid w:val="00DD1764"/>
    <w:rsid w:val="00DD1F9F"/>
    <w:rsid w:val="00DD1FF6"/>
    <w:rsid w:val="00DD2DBB"/>
    <w:rsid w:val="00DD3104"/>
    <w:rsid w:val="00DD32F9"/>
    <w:rsid w:val="00DD392E"/>
    <w:rsid w:val="00DD416B"/>
    <w:rsid w:val="00DD41BD"/>
    <w:rsid w:val="00DD421F"/>
    <w:rsid w:val="00DD558E"/>
    <w:rsid w:val="00DD5D28"/>
    <w:rsid w:val="00DD5ED2"/>
    <w:rsid w:val="00DD640F"/>
    <w:rsid w:val="00DD6575"/>
    <w:rsid w:val="00DD68C7"/>
    <w:rsid w:val="00DD6B3C"/>
    <w:rsid w:val="00DD71E3"/>
    <w:rsid w:val="00DD7A6E"/>
    <w:rsid w:val="00DE00E2"/>
    <w:rsid w:val="00DE0133"/>
    <w:rsid w:val="00DE07AE"/>
    <w:rsid w:val="00DE0C2F"/>
    <w:rsid w:val="00DE0CBE"/>
    <w:rsid w:val="00DE0DD3"/>
    <w:rsid w:val="00DE16A5"/>
    <w:rsid w:val="00DE25BD"/>
    <w:rsid w:val="00DE2764"/>
    <w:rsid w:val="00DE2A66"/>
    <w:rsid w:val="00DE2EFD"/>
    <w:rsid w:val="00DE3095"/>
    <w:rsid w:val="00DE3123"/>
    <w:rsid w:val="00DE3493"/>
    <w:rsid w:val="00DE354A"/>
    <w:rsid w:val="00DE3D4B"/>
    <w:rsid w:val="00DE4B29"/>
    <w:rsid w:val="00DE4DC6"/>
    <w:rsid w:val="00DE4E73"/>
    <w:rsid w:val="00DE4F29"/>
    <w:rsid w:val="00DE51FB"/>
    <w:rsid w:val="00DE52D2"/>
    <w:rsid w:val="00DE57B9"/>
    <w:rsid w:val="00DE5C7C"/>
    <w:rsid w:val="00DE64B4"/>
    <w:rsid w:val="00DE6664"/>
    <w:rsid w:val="00DE6FBB"/>
    <w:rsid w:val="00DE71D7"/>
    <w:rsid w:val="00DE766C"/>
    <w:rsid w:val="00DE7FDF"/>
    <w:rsid w:val="00DF02F5"/>
    <w:rsid w:val="00DF10B2"/>
    <w:rsid w:val="00DF10EB"/>
    <w:rsid w:val="00DF13F3"/>
    <w:rsid w:val="00DF1D20"/>
    <w:rsid w:val="00DF2093"/>
    <w:rsid w:val="00DF20F5"/>
    <w:rsid w:val="00DF25DC"/>
    <w:rsid w:val="00DF2A9A"/>
    <w:rsid w:val="00DF2D45"/>
    <w:rsid w:val="00DF2DA9"/>
    <w:rsid w:val="00DF2FFC"/>
    <w:rsid w:val="00DF42A5"/>
    <w:rsid w:val="00DF5AB1"/>
    <w:rsid w:val="00DF5EC2"/>
    <w:rsid w:val="00DF695E"/>
    <w:rsid w:val="00DF744D"/>
    <w:rsid w:val="00DF759B"/>
    <w:rsid w:val="00DF7B0A"/>
    <w:rsid w:val="00DF7D0A"/>
    <w:rsid w:val="00DF7F98"/>
    <w:rsid w:val="00E00CEE"/>
    <w:rsid w:val="00E011FA"/>
    <w:rsid w:val="00E0156C"/>
    <w:rsid w:val="00E0185A"/>
    <w:rsid w:val="00E032A3"/>
    <w:rsid w:val="00E0408B"/>
    <w:rsid w:val="00E05246"/>
    <w:rsid w:val="00E053A6"/>
    <w:rsid w:val="00E05AAC"/>
    <w:rsid w:val="00E05E75"/>
    <w:rsid w:val="00E063D2"/>
    <w:rsid w:val="00E0665A"/>
    <w:rsid w:val="00E06664"/>
    <w:rsid w:val="00E0725A"/>
    <w:rsid w:val="00E075BD"/>
    <w:rsid w:val="00E07C78"/>
    <w:rsid w:val="00E10991"/>
    <w:rsid w:val="00E10C72"/>
    <w:rsid w:val="00E10DEA"/>
    <w:rsid w:val="00E11711"/>
    <w:rsid w:val="00E117CE"/>
    <w:rsid w:val="00E11C48"/>
    <w:rsid w:val="00E12400"/>
    <w:rsid w:val="00E12C7D"/>
    <w:rsid w:val="00E133C4"/>
    <w:rsid w:val="00E13DB1"/>
    <w:rsid w:val="00E15512"/>
    <w:rsid w:val="00E16158"/>
    <w:rsid w:val="00E17376"/>
    <w:rsid w:val="00E17A29"/>
    <w:rsid w:val="00E17D8F"/>
    <w:rsid w:val="00E17EC4"/>
    <w:rsid w:val="00E200F6"/>
    <w:rsid w:val="00E20B08"/>
    <w:rsid w:val="00E20C8B"/>
    <w:rsid w:val="00E2102D"/>
    <w:rsid w:val="00E2123A"/>
    <w:rsid w:val="00E2201E"/>
    <w:rsid w:val="00E226DD"/>
    <w:rsid w:val="00E22E0D"/>
    <w:rsid w:val="00E235F3"/>
    <w:rsid w:val="00E23B31"/>
    <w:rsid w:val="00E23DAC"/>
    <w:rsid w:val="00E23E8E"/>
    <w:rsid w:val="00E242DF"/>
    <w:rsid w:val="00E2446C"/>
    <w:rsid w:val="00E2482B"/>
    <w:rsid w:val="00E24DBA"/>
    <w:rsid w:val="00E2547C"/>
    <w:rsid w:val="00E256AA"/>
    <w:rsid w:val="00E257F8"/>
    <w:rsid w:val="00E2633E"/>
    <w:rsid w:val="00E26E5F"/>
    <w:rsid w:val="00E26EA6"/>
    <w:rsid w:val="00E270C1"/>
    <w:rsid w:val="00E2779A"/>
    <w:rsid w:val="00E3047E"/>
    <w:rsid w:val="00E30EC2"/>
    <w:rsid w:val="00E310B4"/>
    <w:rsid w:val="00E31363"/>
    <w:rsid w:val="00E31B3A"/>
    <w:rsid w:val="00E31F0D"/>
    <w:rsid w:val="00E326DF"/>
    <w:rsid w:val="00E32E7D"/>
    <w:rsid w:val="00E33C4E"/>
    <w:rsid w:val="00E33EE5"/>
    <w:rsid w:val="00E344AB"/>
    <w:rsid w:val="00E34E2D"/>
    <w:rsid w:val="00E34F92"/>
    <w:rsid w:val="00E34FAE"/>
    <w:rsid w:val="00E35395"/>
    <w:rsid w:val="00E35720"/>
    <w:rsid w:val="00E3589C"/>
    <w:rsid w:val="00E373FF"/>
    <w:rsid w:val="00E37612"/>
    <w:rsid w:val="00E37616"/>
    <w:rsid w:val="00E37699"/>
    <w:rsid w:val="00E376C7"/>
    <w:rsid w:val="00E37A88"/>
    <w:rsid w:val="00E37AA5"/>
    <w:rsid w:val="00E40686"/>
    <w:rsid w:val="00E4078C"/>
    <w:rsid w:val="00E40A0F"/>
    <w:rsid w:val="00E40BE7"/>
    <w:rsid w:val="00E40CB7"/>
    <w:rsid w:val="00E41B1D"/>
    <w:rsid w:val="00E41DA0"/>
    <w:rsid w:val="00E421B1"/>
    <w:rsid w:val="00E424BC"/>
    <w:rsid w:val="00E42CEA"/>
    <w:rsid w:val="00E43227"/>
    <w:rsid w:val="00E4379C"/>
    <w:rsid w:val="00E4389D"/>
    <w:rsid w:val="00E43A71"/>
    <w:rsid w:val="00E43B6F"/>
    <w:rsid w:val="00E43CC7"/>
    <w:rsid w:val="00E43E94"/>
    <w:rsid w:val="00E443B6"/>
    <w:rsid w:val="00E44663"/>
    <w:rsid w:val="00E44D58"/>
    <w:rsid w:val="00E459F1"/>
    <w:rsid w:val="00E46C82"/>
    <w:rsid w:val="00E47447"/>
    <w:rsid w:val="00E47A27"/>
    <w:rsid w:val="00E47A90"/>
    <w:rsid w:val="00E47CA3"/>
    <w:rsid w:val="00E47F0E"/>
    <w:rsid w:val="00E5011F"/>
    <w:rsid w:val="00E504D5"/>
    <w:rsid w:val="00E50FA1"/>
    <w:rsid w:val="00E5216F"/>
    <w:rsid w:val="00E52C10"/>
    <w:rsid w:val="00E52EAF"/>
    <w:rsid w:val="00E539E2"/>
    <w:rsid w:val="00E54637"/>
    <w:rsid w:val="00E54B8B"/>
    <w:rsid w:val="00E54C46"/>
    <w:rsid w:val="00E54E24"/>
    <w:rsid w:val="00E551C2"/>
    <w:rsid w:val="00E55620"/>
    <w:rsid w:val="00E56181"/>
    <w:rsid w:val="00E567D7"/>
    <w:rsid w:val="00E5683C"/>
    <w:rsid w:val="00E56FF2"/>
    <w:rsid w:val="00E60276"/>
    <w:rsid w:val="00E60499"/>
    <w:rsid w:val="00E61C26"/>
    <w:rsid w:val="00E61F5C"/>
    <w:rsid w:val="00E6203F"/>
    <w:rsid w:val="00E6220B"/>
    <w:rsid w:val="00E62488"/>
    <w:rsid w:val="00E62D73"/>
    <w:rsid w:val="00E63DB9"/>
    <w:rsid w:val="00E63ED0"/>
    <w:rsid w:val="00E63F83"/>
    <w:rsid w:val="00E64583"/>
    <w:rsid w:val="00E64F97"/>
    <w:rsid w:val="00E6501E"/>
    <w:rsid w:val="00E6506E"/>
    <w:rsid w:val="00E65407"/>
    <w:rsid w:val="00E65773"/>
    <w:rsid w:val="00E65843"/>
    <w:rsid w:val="00E65E6F"/>
    <w:rsid w:val="00E66B87"/>
    <w:rsid w:val="00E67492"/>
    <w:rsid w:val="00E70161"/>
    <w:rsid w:val="00E71814"/>
    <w:rsid w:val="00E71DC4"/>
    <w:rsid w:val="00E72979"/>
    <w:rsid w:val="00E72A3C"/>
    <w:rsid w:val="00E734C1"/>
    <w:rsid w:val="00E73CBE"/>
    <w:rsid w:val="00E73F79"/>
    <w:rsid w:val="00E74C43"/>
    <w:rsid w:val="00E75831"/>
    <w:rsid w:val="00E75B5E"/>
    <w:rsid w:val="00E75E55"/>
    <w:rsid w:val="00E765A7"/>
    <w:rsid w:val="00E76769"/>
    <w:rsid w:val="00E772E1"/>
    <w:rsid w:val="00E77735"/>
    <w:rsid w:val="00E77A56"/>
    <w:rsid w:val="00E77CC3"/>
    <w:rsid w:val="00E80A08"/>
    <w:rsid w:val="00E811BA"/>
    <w:rsid w:val="00E81632"/>
    <w:rsid w:val="00E81A77"/>
    <w:rsid w:val="00E81AED"/>
    <w:rsid w:val="00E821CD"/>
    <w:rsid w:val="00E82740"/>
    <w:rsid w:val="00E82855"/>
    <w:rsid w:val="00E82E54"/>
    <w:rsid w:val="00E837C9"/>
    <w:rsid w:val="00E83E32"/>
    <w:rsid w:val="00E83E4B"/>
    <w:rsid w:val="00E83E71"/>
    <w:rsid w:val="00E84061"/>
    <w:rsid w:val="00E84D94"/>
    <w:rsid w:val="00E84E74"/>
    <w:rsid w:val="00E84F71"/>
    <w:rsid w:val="00E85347"/>
    <w:rsid w:val="00E85349"/>
    <w:rsid w:val="00E855EA"/>
    <w:rsid w:val="00E85BFA"/>
    <w:rsid w:val="00E85CA3"/>
    <w:rsid w:val="00E85CCF"/>
    <w:rsid w:val="00E863CA"/>
    <w:rsid w:val="00E86641"/>
    <w:rsid w:val="00E867C7"/>
    <w:rsid w:val="00E874DF"/>
    <w:rsid w:val="00E87776"/>
    <w:rsid w:val="00E87878"/>
    <w:rsid w:val="00E87950"/>
    <w:rsid w:val="00E901CF"/>
    <w:rsid w:val="00E90A53"/>
    <w:rsid w:val="00E90A64"/>
    <w:rsid w:val="00E90FB7"/>
    <w:rsid w:val="00E910BA"/>
    <w:rsid w:val="00E9166D"/>
    <w:rsid w:val="00E9187A"/>
    <w:rsid w:val="00E91D17"/>
    <w:rsid w:val="00E91E32"/>
    <w:rsid w:val="00E927B1"/>
    <w:rsid w:val="00E92ACD"/>
    <w:rsid w:val="00E93670"/>
    <w:rsid w:val="00E93A82"/>
    <w:rsid w:val="00E93CEE"/>
    <w:rsid w:val="00E9432F"/>
    <w:rsid w:val="00E943F1"/>
    <w:rsid w:val="00E95020"/>
    <w:rsid w:val="00E95195"/>
    <w:rsid w:val="00E953D9"/>
    <w:rsid w:val="00E9594E"/>
    <w:rsid w:val="00E95ABE"/>
    <w:rsid w:val="00E95FAD"/>
    <w:rsid w:val="00E96036"/>
    <w:rsid w:val="00E96088"/>
    <w:rsid w:val="00E961D4"/>
    <w:rsid w:val="00E966D6"/>
    <w:rsid w:val="00E96E0C"/>
    <w:rsid w:val="00E9761C"/>
    <w:rsid w:val="00E97D6B"/>
    <w:rsid w:val="00EA0424"/>
    <w:rsid w:val="00EA1375"/>
    <w:rsid w:val="00EA16AA"/>
    <w:rsid w:val="00EA1AA2"/>
    <w:rsid w:val="00EA230C"/>
    <w:rsid w:val="00EA305E"/>
    <w:rsid w:val="00EA31D0"/>
    <w:rsid w:val="00EA3477"/>
    <w:rsid w:val="00EA494E"/>
    <w:rsid w:val="00EA4BA9"/>
    <w:rsid w:val="00EA528C"/>
    <w:rsid w:val="00EA581F"/>
    <w:rsid w:val="00EA69FD"/>
    <w:rsid w:val="00EA731C"/>
    <w:rsid w:val="00EB0602"/>
    <w:rsid w:val="00EB09D7"/>
    <w:rsid w:val="00EB21BD"/>
    <w:rsid w:val="00EB27B6"/>
    <w:rsid w:val="00EB3CEB"/>
    <w:rsid w:val="00EB59B1"/>
    <w:rsid w:val="00EB600F"/>
    <w:rsid w:val="00EB65A0"/>
    <w:rsid w:val="00EB67B6"/>
    <w:rsid w:val="00EB6B82"/>
    <w:rsid w:val="00EB6C46"/>
    <w:rsid w:val="00EB710E"/>
    <w:rsid w:val="00EB7148"/>
    <w:rsid w:val="00EB7356"/>
    <w:rsid w:val="00EB753B"/>
    <w:rsid w:val="00EB78C9"/>
    <w:rsid w:val="00EB7921"/>
    <w:rsid w:val="00EB7925"/>
    <w:rsid w:val="00EB7983"/>
    <w:rsid w:val="00EC1BA2"/>
    <w:rsid w:val="00EC1C82"/>
    <w:rsid w:val="00EC1E51"/>
    <w:rsid w:val="00EC23D9"/>
    <w:rsid w:val="00EC2A36"/>
    <w:rsid w:val="00EC2B6A"/>
    <w:rsid w:val="00EC37C3"/>
    <w:rsid w:val="00EC3B5C"/>
    <w:rsid w:val="00EC3D97"/>
    <w:rsid w:val="00EC40EA"/>
    <w:rsid w:val="00EC4163"/>
    <w:rsid w:val="00EC4C75"/>
    <w:rsid w:val="00EC4D81"/>
    <w:rsid w:val="00EC5561"/>
    <w:rsid w:val="00EC55BA"/>
    <w:rsid w:val="00EC6342"/>
    <w:rsid w:val="00EC6A3B"/>
    <w:rsid w:val="00EC6AA9"/>
    <w:rsid w:val="00EC6C08"/>
    <w:rsid w:val="00EC7AC1"/>
    <w:rsid w:val="00EC7B5E"/>
    <w:rsid w:val="00ED084E"/>
    <w:rsid w:val="00ED0879"/>
    <w:rsid w:val="00ED08B5"/>
    <w:rsid w:val="00ED0A42"/>
    <w:rsid w:val="00ED10C2"/>
    <w:rsid w:val="00ED1179"/>
    <w:rsid w:val="00ED122F"/>
    <w:rsid w:val="00ED14E2"/>
    <w:rsid w:val="00ED19A7"/>
    <w:rsid w:val="00ED1B7F"/>
    <w:rsid w:val="00ED1BE7"/>
    <w:rsid w:val="00ED1C39"/>
    <w:rsid w:val="00ED208B"/>
    <w:rsid w:val="00ED2151"/>
    <w:rsid w:val="00ED2156"/>
    <w:rsid w:val="00ED2A71"/>
    <w:rsid w:val="00ED2C39"/>
    <w:rsid w:val="00ED321C"/>
    <w:rsid w:val="00ED321D"/>
    <w:rsid w:val="00ED386F"/>
    <w:rsid w:val="00ED41A6"/>
    <w:rsid w:val="00ED42E3"/>
    <w:rsid w:val="00ED4339"/>
    <w:rsid w:val="00ED4563"/>
    <w:rsid w:val="00ED45FF"/>
    <w:rsid w:val="00ED4A60"/>
    <w:rsid w:val="00ED4D87"/>
    <w:rsid w:val="00ED4E43"/>
    <w:rsid w:val="00ED55AD"/>
    <w:rsid w:val="00ED56F3"/>
    <w:rsid w:val="00ED585C"/>
    <w:rsid w:val="00ED5ECE"/>
    <w:rsid w:val="00ED6207"/>
    <w:rsid w:val="00ED6308"/>
    <w:rsid w:val="00ED65BB"/>
    <w:rsid w:val="00ED679C"/>
    <w:rsid w:val="00ED6AB0"/>
    <w:rsid w:val="00ED739A"/>
    <w:rsid w:val="00ED75A7"/>
    <w:rsid w:val="00ED7615"/>
    <w:rsid w:val="00EE0119"/>
    <w:rsid w:val="00EE029C"/>
    <w:rsid w:val="00EE0565"/>
    <w:rsid w:val="00EE0C40"/>
    <w:rsid w:val="00EE201E"/>
    <w:rsid w:val="00EE238A"/>
    <w:rsid w:val="00EE2B2A"/>
    <w:rsid w:val="00EE2CEE"/>
    <w:rsid w:val="00EE2E25"/>
    <w:rsid w:val="00EE3BF3"/>
    <w:rsid w:val="00EE3D09"/>
    <w:rsid w:val="00EE4064"/>
    <w:rsid w:val="00EE4940"/>
    <w:rsid w:val="00EE4D54"/>
    <w:rsid w:val="00EE5766"/>
    <w:rsid w:val="00EE6C35"/>
    <w:rsid w:val="00EE705D"/>
    <w:rsid w:val="00EE751D"/>
    <w:rsid w:val="00EE792E"/>
    <w:rsid w:val="00EE7F91"/>
    <w:rsid w:val="00EF0023"/>
    <w:rsid w:val="00EF04C5"/>
    <w:rsid w:val="00EF08BB"/>
    <w:rsid w:val="00EF0964"/>
    <w:rsid w:val="00EF0FDC"/>
    <w:rsid w:val="00EF0FFB"/>
    <w:rsid w:val="00EF11EB"/>
    <w:rsid w:val="00EF16A7"/>
    <w:rsid w:val="00EF1A07"/>
    <w:rsid w:val="00EF1A93"/>
    <w:rsid w:val="00EF1F67"/>
    <w:rsid w:val="00EF2206"/>
    <w:rsid w:val="00EF260E"/>
    <w:rsid w:val="00EF2654"/>
    <w:rsid w:val="00EF2926"/>
    <w:rsid w:val="00EF29AA"/>
    <w:rsid w:val="00EF29BB"/>
    <w:rsid w:val="00EF2D96"/>
    <w:rsid w:val="00EF3001"/>
    <w:rsid w:val="00EF3F5E"/>
    <w:rsid w:val="00EF43F6"/>
    <w:rsid w:val="00EF48E7"/>
    <w:rsid w:val="00EF56C1"/>
    <w:rsid w:val="00EF60A5"/>
    <w:rsid w:val="00EF6896"/>
    <w:rsid w:val="00EF6AE8"/>
    <w:rsid w:val="00EF7E41"/>
    <w:rsid w:val="00F0050F"/>
    <w:rsid w:val="00F018DF"/>
    <w:rsid w:val="00F01EB2"/>
    <w:rsid w:val="00F01EED"/>
    <w:rsid w:val="00F02401"/>
    <w:rsid w:val="00F024AF"/>
    <w:rsid w:val="00F027C2"/>
    <w:rsid w:val="00F03442"/>
    <w:rsid w:val="00F0353C"/>
    <w:rsid w:val="00F036ED"/>
    <w:rsid w:val="00F0378C"/>
    <w:rsid w:val="00F03C74"/>
    <w:rsid w:val="00F03EBE"/>
    <w:rsid w:val="00F0539C"/>
    <w:rsid w:val="00F0572A"/>
    <w:rsid w:val="00F05BD3"/>
    <w:rsid w:val="00F06985"/>
    <w:rsid w:val="00F06B15"/>
    <w:rsid w:val="00F0745F"/>
    <w:rsid w:val="00F07551"/>
    <w:rsid w:val="00F079C2"/>
    <w:rsid w:val="00F07A4D"/>
    <w:rsid w:val="00F07B7D"/>
    <w:rsid w:val="00F07C73"/>
    <w:rsid w:val="00F07D89"/>
    <w:rsid w:val="00F103A8"/>
    <w:rsid w:val="00F1088F"/>
    <w:rsid w:val="00F10D7E"/>
    <w:rsid w:val="00F11940"/>
    <w:rsid w:val="00F12684"/>
    <w:rsid w:val="00F12F54"/>
    <w:rsid w:val="00F12FEE"/>
    <w:rsid w:val="00F13686"/>
    <w:rsid w:val="00F13D65"/>
    <w:rsid w:val="00F15262"/>
    <w:rsid w:val="00F1566E"/>
    <w:rsid w:val="00F15B8F"/>
    <w:rsid w:val="00F15C09"/>
    <w:rsid w:val="00F164CD"/>
    <w:rsid w:val="00F17996"/>
    <w:rsid w:val="00F17FFA"/>
    <w:rsid w:val="00F2089A"/>
    <w:rsid w:val="00F210FA"/>
    <w:rsid w:val="00F224C9"/>
    <w:rsid w:val="00F22D3D"/>
    <w:rsid w:val="00F239A5"/>
    <w:rsid w:val="00F23E49"/>
    <w:rsid w:val="00F23E76"/>
    <w:rsid w:val="00F24D23"/>
    <w:rsid w:val="00F24D3F"/>
    <w:rsid w:val="00F24E21"/>
    <w:rsid w:val="00F25455"/>
    <w:rsid w:val="00F25C1E"/>
    <w:rsid w:val="00F2678B"/>
    <w:rsid w:val="00F27241"/>
    <w:rsid w:val="00F27642"/>
    <w:rsid w:val="00F277C7"/>
    <w:rsid w:val="00F278A7"/>
    <w:rsid w:val="00F30515"/>
    <w:rsid w:val="00F30C6F"/>
    <w:rsid w:val="00F319D4"/>
    <w:rsid w:val="00F31BB8"/>
    <w:rsid w:val="00F31D5C"/>
    <w:rsid w:val="00F326EA"/>
    <w:rsid w:val="00F327DE"/>
    <w:rsid w:val="00F331AC"/>
    <w:rsid w:val="00F3484D"/>
    <w:rsid w:val="00F34DF9"/>
    <w:rsid w:val="00F34FD8"/>
    <w:rsid w:val="00F34FE1"/>
    <w:rsid w:val="00F35819"/>
    <w:rsid w:val="00F35C47"/>
    <w:rsid w:val="00F35CF0"/>
    <w:rsid w:val="00F361E1"/>
    <w:rsid w:val="00F3687C"/>
    <w:rsid w:val="00F3748C"/>
    <w:rsid w:val="00F376FE"/>
    <w:rsid w:val="00F3776B"/>
    <w:rsid w:val="00F37854"/>
    <w:rsid w:val="00F37EAD"/>
    <w:rsid w:val="00F40418"/>
    <w:rsid w:val="00F4043A"/>
    <w:rsid w:val="00F4050F"/>
    <w:rsid w:val="00F40906"/>
    <w:rsid w:val="00F40ACB"/>
    <w:rsid w:val="00F40F5B"/>
    <w:rsid w:val="00F41187"/>
    <w:rsid w:val="00F419F0"/>
    <w:rsid w:val="00F41BD9"/>
    <w:rsid w:val="00F41EC0"/>
    <w:rsid w:val="00F42FBD"/>
    <w:rsid w:val="00F4362C"/>
    <w:rsid w:val="00F436E3"/>
    <w:rsid w:val="00F43D2F"/>
    <w:rsid w:val="00F43E5C"/>
    <w:rsid w:val="00F43F8F"/>
    <w:rsid w:val="00F44AA2"/>
    <w:rsid w:val="00F45508"/>
    <w:rsid w:val="00F45766"/>
    <w:rsid w:val="00F4585B"/>
    <w:rsid w:val="00F45ED8"/>
    <w:rsid w:val="00F46F61"/>
    <w:rsid w:val="00F47045"/>
    <w:rsid w:val="00F477A5"/>
    <w:rsid w:val="00F50917"/>
    <w:rsid w:val="00F50C38"/>
    <w:rsid w:val="00F50C84"/>
    <w:rsid w:val="00F50CC9"/>
    <w:rsid w:val="00F50F2E"/>
    <w:rsid w:val="00F51679"/>
    <w:rsid w:val="00F518C3"/>
    <w:rsid w:val="00F519BA"/>
    <w:rsid w:val="00F51AF3"/>
    <w:rsid w:val="00F51BF2"/>
    <w:rsid w:val="00F51D1D"/>
    <w:rsid w:val="00F52C6A"/>
    <w:rsid w:val="00F53747"/>
    <w:rsid w:val="00F5390F"/>
    <w:rsid w:val="00F54524"/>
    <w:rsid w:val="00F5470B"/>
    <w:rsid w:val="00F5535D"/>
    <w:rsid w:val="00F56350"/>
    <w:rsid w:val="00F56414"/>
    <w:rsid w:val="00F56E84"/>
    <w:rsid w:val="00F60323"/>
    <w:rsid w:val="00F60341"/>
    <w:rsid w:val="00F60491"/>
    <w:rsid w:val="00F606A1"/>
    <w:rsid w:val="00F60B13"/>
    <w:rsid w:val="00F60D68"/>
    <w:rsid w:val="00F60E18"/>
    <w:rsid w:val="00F61551"/>
    <w:rsid w:val="00F62261"/>
    <w:rsid w:val="00F62587"/>
    <w:rsid w:val="00F627D0"/>
    <w:rsid w:val="00F62E15"/>
    <w:rsid w:val="00F63636"/>
    <w:rsid w:val="00F6374C"/>
    <w:rsid w:val="00F63F29"/>
    <w:rsid w:val="00F644E8"/>
    <w:rsid w:val="00F64B33"/>
    <w:rsid w:val="00F6514A"/>
    <w:rsid w:val="00F656C5"/>
    <w:rsid w:val="00F65A1A"/>
    <w:rsid w:val="00F660E1"/>
    <w:rsid w:val="00F668E2"/>
    <w:rsid w:val="00F669F3"/>
    <w:rsid w:val="00F66CEF"/>
    <w:rsid w:val="00F66F16"/>
    <w:rsid w:val="00F7137D"/>
    <w:rsid w:val="00F71928"/>
    <w:rsid w:val="00F71960"/>
    <w:rsid w:val="00F71B1B"/>
    <w:rsid w:val="00F71B91"/>
    <w:rsid w:val="00F725CA"/>
    <w:rsid w:val="00F7299D"/>
    <w:rsid w:val="00F729AB"/>
    <w:rsid w:val="00F72A6E"/>
    <w:rsid w:val="00F72CFF"/>
    <w:rsid w:val="00F7338E"/>
    <w:rsid w:val="00F73EFE"/>
    <w:rsid w:val="00F742F5"/>
    <w:rsid w:val="00F7437F"/>
    <w:rsid w:val="00F74414"/>
    <w:rsid w:val="00F74641"/>
    <w:rsid w:val="00F7490D"/>
    <w:rsid w:val="00F74BA6"/>
    <w:rsid w:val="00F7515A"/>
    <w:rsid w:val="00F75A5C"/>
    <w:rsid w:val="00F75B78"/>
    <w:rsid w:val="00F75DE9"/>
    <w:rsid w:val="00F75E30"/>
    <w:rsid w:val="00F76169"/>
    <w:rsid w:val="00F76458"/>
    <w:rsid w:val="00F7694D"/>
    <w:rsid w:val="00F76B7A"/>
    <w:rsid w:val="00F76BDD"/>
    <w:rsid w:val="00F77301"/>
    <w:rsid w:val="00F77599"/>
    <w:rsid w:val="00F80133"/>
    <w:rsid w:val="00F80C66"/>
    <w:rsid w:val="00F81308"/>
    <w:rsid w:val="00F81594"/>
    <w:rsid w:val="00F819F6"/>
    <w:rsid w:val="00F8208A"/>
    <w:rsid w:val="00F82115"/>
    <w:rsid w:val="00F82624"/>
    <w:rsid w:val="00F82F86"/>
    <w:rsid w:val="00F84490"/>
    <w:rsid w:val="00F84EC8"/>
    <w:rsid w:val="00F86B61"/>
    <w:rsid w:val="00F86B6B"/>
    <w:rsid w:val="00F86BB2"/>
    <w:rsid w:val="00F8710A"/>
    <w:rsid w:val="00F8715C"/>
    <w:rsid w:val="00F87474"/>
    <w:rsid w:val="00F9033E"/>
    <w:rsid w:val="00F904DB"/>
    <w:rsid w:val="00F906CF"/>
    <w:rsid w:val="00F914AA"/>
    <w:rsid w:val="00F91E3F"/>
    <w:rsid w:val="00F92EDB"/>
    <w:rsid w:val="00F93C97"/>
    <w:rsid w:val="00F94270"/>
    <w:rsid w:val="00F942C5"/>
    <w:rsid w:val="00F9493F"/>
    <w:rsid w:val="00F95693"/>
    <w:rsid w:val="00F95BED"/>
    <w:rsid w:val="00F95D95"/>
    <w:rsid w:val="00F969EB"/>
    <w:rsid w:val="00F97393"/>
    <w:rsid w:val="00F97ED7"/>
    <w:rsid w:val="00FA0065"/>
    <w:rsid w:val="00FA096C"/>
    <w:rsid w:val="00FA09A2"/>
    <w:rsid w:val="00FA0EA0"/>
    <w:rsid w:val="00FA1313"/>
    <w:rsid w:val="00FA1550"/>
    <w:rsid w:val="00FA1E21"/>
    <w:rsid w:val="00FA2B45"/>
    <w:rsid w:val="00FA2CFA"/>
    <w:rsid w:val="00FA33F0"/>
    <w:rsid w:val="00FA3C4F"/>
    <w:rsid w:val="00FA552B"/>
    <w:rsid w:val="00FA5534"/>
    <w:rsid w:val="00FA57C8"/>
    <w:rsid w:val="00FA5AE9"/>
    <w:rsid w:val="00FA5E12"/>
    <w:rsid w:val="00FA6070"/>
    <w:rsid w:val="00FA6859"/>
    <w:rsid w:val="00FA6957"/>
    <w:rsid w:val="00FA69EE"/>
    <w:rsid w:val="00FA6F42"/>
    <w:rsid w:val="00FA7DA6"/>
    <w:rsid w:val="00FB00FC"/>
    <w:rsid w:val="00FB070B"/>
    <w:rsid w:val="00FB0A8A"/>
    <w:rsid w:val="00FB1126"/>
    <w:rsid w:val="00FB11A4"/>
    <w:rsid w:val="00FB2AEB"/>
    <w:rsid w:val="00FB2F50"/>
    <w:rsid w:val="00FB35FD"/>
    <w:rsid w:val="00FB3C7B"/>
    <w:rsid w:val="00FB449B"/>
    <w:rsid w:val="00FB45A4"/>
    <w:rsid w:val="00FB4773"/>
    <w:rsid w:val="00FB4C76"/>
    <w:rsid w:val="00FB520D"/>
    <w:rsid w:val="00FB59C1"/>
    <w:rsid w:val="00FB5DF9"/>
    <w:rsid w:val="00FB6388"/>
    <w:rsid w:val="00FB641D"/>
    <w:rsid w:val="00FB71CE"/>
    <w:rsid w:val="00FB74DE"/>
    <w:rsid w:val="00FB7F2E"/>
    <w:rsid w:val="00FC0668"/>
    <w:rsid w:val="00FC0E5A"/>
    <w:rsid w:val="00FC1B68"/>
    <w:rsid w:val="00FC22D1"/>
    <w:rsid w:val="00FC24E9"/>
    <w:rsid w:val="00FC26BD"/>
    <w:rsid w:val="00FC2E77"/>
    <w:rsid w:val="00FC3C30"/>
    <w:rsid w:val="00FC4149"/>
    <w:rsid w:val="00FC47F1"/>
    <w:rsid w:val="00FC4B1D"/>
    <w:rsid w:val="00FC4D17"/>
    <w:rsid w:val="00FC4FF5"/>
    <w:rsid w:val="00FC5506"/>
    <w:rsid w:val="00FC5882"/>
    <w:rsid w:val="00FC5B54"/>
    <w:rsid w:val="00FC5DBE"/>
    <w:rsid w:val="00FC5FC5"/>
    <w:rsid w:val="00FC7257"/>
    <w:rsid w:val="00FC7CC1"/>
    <w:rsid w:val="00FD1918"/>
    <w:rsid w:val="00FD246A"/>
    <w:rsid w:val="00FD3400"/>
    <w:rsid w:val="00FD3936"/>
    <w:rsid w:val="00FD3972"/>
    <w:rsid w:val="00FD3ACB"/>
    <w:rsid w:val="00FD3E9E"/>
    <w:rsid w:val="00FD40DD"/>
    <w:rsid w:val="00FD426B"/>
    <w:rsid w:val="00FD42CF"/>
    <w:rsid w:val="00FD4AFD"/>
    <w:rsid w:val="00FD508F"/>
    <w:rsid w:val="00FD5A5A"/>
    <w:rsid w:val="00FD718D"/>
    <w:rsid w:val="00FD7EC1"/>
    <w:rsid w:val="00FE0370"/>
    <w:rsid w:val="00FE043E"/>
    <w:rsid w:val="00FE086A"/>
    <w:rsid w:val="00FE13B8"/>
    <w:rsid w:val="00FE1E04"/>
    <w:rsid w:val="00FE203F"/>
    <w:rsid w:val="00FE2588"/>
    <w:rsid w:val="00FE2BD0"/>
    <w:rsid w:val="00FE2ED4"/>
    <w:rsid w:val="00FE3AB9"/>
    <w:rsid w:val="00FE3DD9"/>
    <w:rsid w:val="00FE3E26"/>
    <w:rsid w:val="00FE3F04"/>
    <w:rsid w:val="00FE489C"/>
    <w:rsid w:val="00FE50AB"/>
    <w:rsid w:val="00FE5145"/>
    <w:rsid w:val="00FE525D"/>
    <w:rsid w:val="00FE53FB"/>
    <w:rsid w:val="00FE5AB0"/>
    <w:rsid w:val="00FE5ED1"/>
    <w:rsid w:val="00FE6256"/>
    <w:rsid w:val="00FE65FD"/>
    <w:rsid w:val="00FE67E8"/>
    <w:rsid w:val="00FE6B47"/>
    <w:rsid w:val="00FE7643"/>
    <w:rsid w:val="00FF0376"/>
    <w:rsid w:val="00FF0777"/>
    <w:rsid w:val="00FF13BE"/>
    <w:rsid w:val="00FF1498"/>
    <w:rsid w:val="00FF16AF"/>
    <w:rsid w:val="00FF18FE"/>
    <w:rsid w:val="00FF1D71"/>
    <w:rsid w:val="00FF1FBD"/>
    <w:rsid w:val="00FF204C"/>
    <w:rsid w:val="00FF2164"/>
    <w:rsid w:val="00FF2B0E"/>
    <w:rsid w:val="00FF30C2"/>
    <w:rsid w:val="00FF35B2"/>
    <w:rsid w:val="00FF3745"/>
    <w:rsid w:val="00FF3BF0"/>
    <w:rsid w:val="00FF3C08"/>
    <w:rsid w:val="00FF423E"/>
    <w:rsid w:val="00FF45B1"/>
    <w:rsid w:val="00FF52D5"/>
    <w:rsid w:val="00FF52FA"/>
    <w:rsid w:val="00FF5398"/>
    <w:rsid w:val="00FF55C5"/>
    <w:rsid w:val="00FF5767"/>
    <w:rsid w:val="00FF6FB9"/>
    <w:rsid w:val="00FF7211"/>
    <w:rsid w:val="00FF7425"/>
    <w:rsid w:val="00FF7792"/>
    <w:rsid w:val="00FF79C8"/>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4:docId w14:val="22BFF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s-Latn-BA" w:eastAsia="bs-Latn-BA" w:bidi="ar-SA"/>
      </w:rPr>
    </w:rPrDefault>
    <w:pPrDefault/>
  </w:docDefaults>
  <w:latentStyles w:defLockedState="1"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 List" w:uiPriority="99"/>
    <w:lsdException w:name="Outline List 2" w:uiPriority="99"/>
    <w:lsdException w:name="Table Grid" w:semiHidden="0" w:unhideWhenUsed="0"/>
    <w:lsdException w:name="Placeholder Text" w:locked="0" w:uiPriority="99"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qFormat="1"/>
  </w:latentStyles>
  <w:style w:type="paragraph" w:default="1" w:styleId="Normal">
    <w:name w:val="Normal"/>
    <w:qFormat/>
    <w:rsid w:val="0037100B"/>
    <w:rPr>
      <w:sz w:val="24"/>
      <w:szCs w:val="24"/>
      <w:lang w:val="en-US" w:eastAsia="en-US"/>
    </w:rPr>
  </w:style>
  <w:style w:type="paragraph" w:styleId="Heading1">
    <w:name w:val="heading 1"/>
    <w:basedOn w:val="Normal"/>
    <w:next w:val="Normal"/>
    <w:link w:val="Heading1Char"/>
    <w:qFormat/>
    <w:rsid w:val="00274B85"/>
    <w:pPr>
      <w:keepNext/>
      <w:jc w:val="right"/>
      <w:outlineLvl w:val="0"/>
    </w:pPr>
    <w:rPr>
      <w:rFonts w:ascii="Arial" w:hAnsi="Arial" w:cs="Arial"/>
      <w:b/>
    </w:rPr>
  </w:style>
  <w:style w:type="paragraph" w:styleId="Heading2">
    <w:name w:val="heading 2"/>
    <w:basedOn w:val="Normal"/>
    <w:next w:val="Normal"/>
    <w:link w:val="Heading2Char"/>
    <w:qFormat/>
    <w:rsid w:val="00274B85"/>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74B85"/>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274B85"/>
    <w:pPr>
      <w:keepNext/>
      <w:spacing w:before="240" w:after="60"/>
      <w:outlineLvl w:val="3"/>
    </w:pPr>
    <w:rPr>
      <w:b/>
      <w:bCs/>
      <w:sz w:val="28"/>
      <w:szCs w:val="28"/>
    </w:rPr>
  </w:style>
  <w:style w:type="paragraph" w:styleId="Heading5">
    <w:name w:val="heading 5"/>
    <w:basedOn w:val="Normal"/>
    <w:next w:val="Normal"/>
    <w:link w:val="Heading5Char"/>
    <w:qFormat/>
    <w:rsid w:val="00274B85"/>
    <w:pPr>
      <w:spacing w:before="240" w:after="60"/>
      <w:outlineLvl w:val="4"/>
    </w:pPr>
    <w:rPr>
      <w:b/>
      <w:bCs/>
      <w:i/>
      <w:iCs/>
      <w:sz w:val="26"/>
      <w:szCs w:val="26"/>
    </w:rPr>
  </w:style>
  <w:style w:type="paragraph" w:styleId="Heading6">
    <w:name w:val="heading 6"/>
    <w:basedOn w:val="Normal"/>
    <w:next w:val="Normal"/>
    <w:link w:val="Heading6Char"/>
    <w:qFormat/>
    <w:rsid w:val="00274B85"/>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74B85"/>
    <w:rPr>
      <w:rFonts w:ascii="Arial" w:hAnsi="Arial" w:cs="Times New Roman"/>
      <w:b/>
      <w:sz w:val="24"/>
      <w:lang w:val="en-US" w:eastAsia="en-US"/>
    </w:rPr>
  </w:style>
  <w:style w:type="character" w:customStyle="1" w:styleId="Heading2Char">
    <w:name w:val="Heading 2 Char"/>
    <w:link w:val="Heading2"/>
    <w:locked/>
    <w:rsid w:val="00274B85"/>
    <w:rPr>
      <w:rFonts w:ascii="Arial" w:hAnsi="Arial" w:cs="Times New Roman"/>
      <w:b/>
      <w:i/>
      <w:sz w:val="28"/>
      <w:lang w:val="en-US" w:eastAsia="en-US"/>
    </w:rPr>
  </w:style>
  <w:style w:type="character" w:customStyle="1" w:styleId="Heading3Char">
    <w:name w:val="Heading 3 Char"/>
    <w:link w:val="Heading3"/>
    <w:locked/>
    <w:rsid w:val="00274B85"/>
    <w:rPr>
      <w:rFonts w:ascii="Arial" w:hAnsi="Arial" w:cs="Times New Roman"/>
      <w:b/>
      <w:sz w:val="26"/>
      <w:lang w:val="en-US" w:eastAsia="en-US"/>
    </w:rPr>
  </w:style>
  <w:style w:type="character" w:customStyle="1" w:styleId="Heading4Char">
    <w:name w:val="Heading 4 Char"/>
    <w:link w:val="Heading4"/>
    <w:uiPriority w:val="99"/>
    <w:locked/>
    <w:rsid w:val="00274B85"/>
    <w:rPr>
      <w:rFonts w:cs="Times New Roman"/>
      <w:b/>
      <w:sz w:val="28"/>
      <w:lang w:val="en-US" w:eastAsia="en-US"/>
    </w:rPr>
  </w:style>
  <w:style w:type="character" w:customStyle="1" w:styleId="Heading5Char">
    <w:name w:val="Heading 5 Char"/>
    <w:link w:val="Heading5"/>
    <w:locked/>
    <w:rsid w:val="00274B85"/>
    <w:rPr>
      <w:rFonts w:cs="Times New Roman"/>
      <w:b/>
      <w:i/>
      <w:sz w:val="26"/>
    </w:rPr>
  </w:style>
  <w:style w:type="character" w:customStyle="1" w:styleId="Heading6Char">
    <w:name w:val="Heading 6 Char"/>
    <w:link w:val="Heading6"/>
    <w:locked/>
    <w:rsid w:val="00274B85"/>
    <w:rPr>
      <w:rFonts w:cs="Times New Roman"/>
      <w:b/>
      <w:sz w:val="22"/>
    </w:rPr>
  </w:style>
  <w:style w:type="paragraph" w:styleId="Header">
    <w:name w:val="header"/>
    <w:basedOn w:val="Normal"/>
    <w:link w:val="HeaderChar"/>
    <w:rsid w:val="00274B85"/>
    <w:pPr>
      <w:tabs>
        <w:tab w:val="center" w:pos="4703"/>
        <w:tab w:val="right" w:pos="9406"/>
      </w:tabs>
    </w:pPr>
  </w:style>
  <w:style w:type="character" w:customStyle="1" w:styleId="HeaderChar">
    <w:name w:val="Header Char"/>
    <w:link w:val="Header"/>
    <w:locked/>
    <w:rsid w:val="00274B85"/>
    <w:rPr>
      <w:rFonts w:cs="Times New Roman"/>
      <w:sz w:val="24"/>
      <w:lang w:val="en-US" w:eastAsia="en-US"/>
    </w:rPr>
  </w:style>
  <w:style w:type="paragraph" w:styleId="Footer">
    <w:name w:val="footer"/>
    <w:basedOn w:val="Normal"/>
    <w:link w:val="FooterChar"/>
    <w:rsid w:val="00274B85"/>
    <w:pPr>
      <w:tabs>
        <w:tab w:val="center" w:pos="4703"/>
        <w:tab w:val="right" w:pos="9406"/>
      </w:tabs>
    </w:pPr>
  </w:style>
  <w:style w:type="character" w:customStyle="1" w:styleId="FooterChar">
    <w:name w:val="Footer Char"/>
    <w:link w:val="Footer"/>
    <w:locked/>
    <w:rsid w:val="00274B85"/>
    <w:rPr>
      <w:rFonts w:cs="Times New Roman"/>
      <w:sz w:val="24"/>
    </w:rPr>
  </w:style>
  <w:style w:type="character" w:styleId="PageNumber">
    <w:name w:val="page number"/>
    <w:rsid w:val="00274B85"/>
    <w:rPr>
      <w:rFonts w:cs="Times New Roman"/>
    </w:rPr>
  </w:style>
  <w:style w:type="paragraph" w:styleId="BalloonText">
    <w:name w:val="Balloon Text"/>
    <w:basedOn w:val="Normal"/>
    <w:link w:val="BalloonTextChar"/>
    <w:semiHidden/>
    <w:rsid w:val="00274B85"/>
    <w:rPr>
      <w:rFonts w:ascii="Tahoma" w:hAnsi="Tahoma"/>
      <w:sz w:val="16"/>
      <w:szCs w:val="16"/>
    </w:rPr>
  </w:style>
  <w:style w:type="character" w:customStyle="1" w:styleId="BalloonTextChar">
    <w:name w:val="Balloon Text Char"/>
    <w:link w:val="BalloonText"/>
    <w:semiHidden/>
    <w:locked/>
    <w:rsid w:val="00274B85"/>
    <w:rPr>
      <w:rFonts w:ascii="Tahoma" w:hAnsi="Tahoma" w:cs="Times New Roman"/>
      <w:sz w:val="16"/>
    </w:rPr>
  </w:style>
  <w:style w:type="character" w:styleId="CommentReference">
    <w:name w:val="annotation reference"/>
    <w:rsid w:val="00274B85"/>
    <w:rPr>
      <w:rFonts w:cs="Times New Roman"/>
      <w:sz w:val="16"/>
    </w:rPr>
  </w:style>
  <w:style w:type="paragraph" w:styleId="CommentText">
    <w:name w:val="annotation text"/>
    <w:basedOn w:val="Normal"/>
    <w:link w:val="CommentTextChar"/>
    <w:rsid w:val="00274B85"/>
    <w:rPr>
      <w:sz w:val="20"/>
      <w:szCs w:val="20"/>
    </w:rPr>
  </w:style>
  <w:style w:type="character" w:customStyle="1" w:styleId="CommentTextChar">
    <w:name w:val="Comment Text Char"/>
    <w:link w:val="CommentText"/>
    <w:locked/>
    <w:rsid w:val="00274B85"/>
    <w:rPr>
      <w:rFonts w:cs="Times New Roman"/>
      <w:lang w:val="en-US" w:eastAsia="en-US"/>
    </w:rPr>
  </w:style>
  <w:style w:type="paragraph" w:styleId="CommentSubject">
    <w:name w:val="annotation subject"/>
    <w:basedOn w:val="CommentText"/>
    <w:next w:val="CommentText"/>
    <w:link w:val="CommentSubjectChar"/>
    <w:rsid w:val="00274B85"/>
    <w:rPr>
      <w:b/>
      <w:bCs/>
    </w:rPr>
  </w:style>
  <w:style w:type="character" w:customStyle="1" w:styleId="CommentSubjectChar">
    <w:name w:val="Comment Subject Char"/>
    <w:link w:val="CommentSubject"/>
    <w:locked/>
    <w:rsid w:val="00274B85"/>
    <w:rPr>
      <w:rFonts w:cs="Times New Roman"/>
      <w:b/>
      <w:lang w:val="en-US" w:eastAsia="en-US"/>
    </w:rPr>
  </w:style>
  <w:style w:type="paragraph" w:styleId="Caption">
    <w:name w:val="caption"/>
    <w:basedOn w:val="Normal"/>
    <w:next w:val="Normal"/>
    <w:qFormat/>
    <w:rsid w:val="00274B85"/>
    <w:rPr>
      <w:b/>
      <w:bCs/>
      <w:sz w:val="20"/>
      <w:szCs w:val="20"/>
    </w:rPr>
  </w:style>
  <w:style w:type="paragraph" w:styleId="ListParagraph">
    <w:name w:val="List Paragraph"/>
    <w:basedOn w:val="Normal"/>
    <w:uiPriority w:val="34"/>
    <w:qFormat/>
    <w:rsid w:val="00274B85"/>
    <w:pPr>
      <w:ind w:left="708"/>
    </w:pPr>
  </w:style>
  <w:style w:type="paragraph" w:styleId="TOC3">
    <w:name w:val="toc 3"/>
    <w:basedOn w:val="Normal"/>
    <w:next w:val="Normal"/>
    <w:autoRedefine/>
    <w:uiPriority w:val="39"/>
    <w:rsid w:val="00C52B55"/>
    <w:pPr>
      <w:tabs>
        <w:tab w:val="left" w:pos="960"/>
        <w:tab w:val="right" w:leader="dot" w:pos="9060"/>
      </w:tabs>
      <w:spacing w:after="120"/>
      <w:ind w:left="900" w:hanging="900"/>
    </w:pPr>
    <w:rPr>
      <w:rFonts w:ascii="Cambria" w:hAnsi="Cambria"/>
      <w:iCs/>
      <w:sz w:val="22"/>
      <w:szCs w:val="22"/>
    </w:rPr>
  </w:style>
  <w:style w:type="table" w:styleId="TableGrid">
    <w:name w:val="Table Grid"/>
    <w:basedOn w:val="TableNormal"/>
    <w:rsid w:val="00274B8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274B85"/>
    <w:pPr>
      <w:jc w:val="center"/>
    </w:pPr>
    <w:rPr>
      <w:rFonts w:ascii="Arial" w:hAnsi="Arial"/>
      <w:b/>
      <w:bCs/>
      <w:lang w:val="sl-SI"/>
    </w:rPr>
  </w:style>
  <w:style w:type="character" w:customStyle="1" w:styleId="TitleChar">
    <w:name w:val="Title Char"/>
    <w:link w:val="Title"/>
    <w:locked/>
    <w:rsid w:val="00274B85"/>
    <w:rPr>
      <w:rFonts w:ascii="Arial" w:hAnsi="Arial" w:cs="Times New Roman"/>
      <w:b/>
      <w:sz w:val="24"/>
      <w:lang w:val="sl-SI"/>
    </w:rPr>
  </w:style>
  <w:style w:type="paragraph" w:styleId="BodyText">
    <w:name w:val="Body Text"/>
    <w:basedOn w:val="Normal"/>
    <w:link w:val="BodyTextChar"/>
    <w:rsid w:val="00274B85"/>
    <w:pPr>
      <w:spacing w:after="120"/>
    </w:pPr>
  </w:style>
  <w:style w:type="character" w:customStyle="1" w:styleId="BodyTextChar">
    <w:name w:val="Body Text Char"/>
    <w:link w:val="BodyText"/>
    <w:locked/>
    <w:rsid w:val="00274B85"/>
    <w:rPr>
      <w:rFonts w:cs="Times New Roman"/>
      <w:sz w:val="24"/>
    </w:rPr>
  </w:style>
  <w:style w:type="paragraph" w:styleId="FootnoteText">
    <w:name w:val="footnote text"/>
    <w:basedOn w:val="Normal"/>
    <w:link w:val="FootnoteTextChar"/>
    <w:uiPriority w:val="99"/>
    <w:rsid w:val="00274B85"/>
    <w:rPr>
      <w:rFonts w:ascii="Times Cirilica" w:hAnsi="Times Cirilica"/>
      <w:sz w:val="20"/>
      <w:szCs w:val="20"/>
    </w:rPr>
  </w:style>
  <w:style w:type="character" w:customStyle="1" w:styleId="FootnoteTextChar">
    <w:name w:val="Footnote Text Char"/>
    <w:link w:val="FootnoteText"/>
    <w:uiPriority w:val="99"/>
    <w:locked/>
    <w:rsid w:val="00274B85"/>
    <w:rPr>
      <w:rFonts w:ascii="Times Cirilica" w:hAnsi="Times Cirilica" w:cs="Times New Roman"/>
    </w:rPr>
  </w:style>
  <w:style w:type="character" w:styleId="FootnoteReference">
    <w:name w:val="footnote reference"/>
    <w:uiPriority w:val="99"/>
    <w:rsid w:val="00274B85"/>
    <w:rPr>
      <w:rFonts w:cs="Times New Roman"/>
      <w:vertAlign w:val="superscript"/>
    </w:rPr>
  </w:style>
  <w:style w:type="paragraph" w:styleId="TOC1">
    <w:name w:val="toc 1"/>
    <w:basedOn w:val="Normal"/>
    <w:next w:val="Normal"/>
    <w:autoRedefine/>
    <w:uiPriority w:val="39"/>
    <w:rsid w:val="00932B34"/>
    <w:pPr>
      <w:tabs>
        <w:tab w:val="left" w:pos="900"/>
        <w:tab w:val="right" w:leader="dot" w:pos="9072"/>
      </w:tabs>
      <w:spacing w:before="120" w:after="120"/>
      <w:ind w:left="851" w:right="282" w:hanging="851"/>
      <w:jc w:val="both"/>
    </w:pPr>
    <w:rPr>
      <w:rFonts w:ascii="Calibri" w:hAnsi="Calibri"/>
      <w:b/>
      <w:bCs/>
      <w:caps/>
      <w:sz w:val="20"/>
      <w:szCs w:val="20"/>
    </w:rPr>
  </w:style>
  <w:style w:type="paragraph" w:styleId="TOC2">
    <w:name w:val="toc 2"/>
    <w:basedOn w:val="Normal"/>
    <w:next w:val="Normal"/>
    <w:autoRedefine/>
    <w:uiPriority w:val="39"/>
    <w:rsid w:val="00274B85"/>
    <w:pPr>
      <w:ind w:left="240"/>
    </w:pPr>
    <w:rPr>
      <w:rFonts w:ascii="Calibri" w:hAnsi="Calibri"/>
      <w:smallCaps/>
      <w:sz w:val="20"/>
      <w:szCs w:val="20"/>
    </w:rPr>
  </w:style>
  <w:style w:type="character" w:styleId="Hyperlink">
    <w:name w:val="Hyperlink"/>
    <w:uiPriority w:val="99"/>
    <w:rsid w:val="00274B85"/>
    <w:rPr>
      <w:rFonts w:cs="Times New Roman"/>
      <w:color w:val="0000FF"/>
      <w:u w:val="single"/>
    </w:rPr>
  </w:style>
  <w:style w:type="paragraph" w:styleId="NormalWeb">
    <w:name w:val="Normal (Web)"/>
    <w:basedOn w:val="Normal"/>
    <w:rsid w:val="00274B85"/>
    <w:pPr>
      <w:spacing w:before="100" w:beforeAutospacing="1" w:after="100" w:afterAutospacing="1"/>
    </w:pPr>
  </w:style>
  <w:style w:type="paragraph" w:styleId="BodyTextIndent">
    <w:name w:val="Body Text Indent"/>
    <w:basedOn w:val="Normal"/>
    <w:link w:val="BodyTextIndentChar"/>
    <w:rsid w:val="00274B85"/>
    <w:pPr>
      <w:ind w:left="720"/>
    </w:pPr>
    <w:rPr>
      <w:lang w:val="hr-HR" w:eastAsia="hr-HR"/>
    </w:rPr>
  </w:style>
  <w:style w:type="character" w:customStyle="1" w:styleId="BodyTextIndentChar">
    <w:name w:val="Body Text Indent Char"/>
    <w:link w:val="BodyTextIndent"/>
    <w:locked/>
    <w:rsid w:val="00274B85"/>
    <w:rPr>
      <w:rFonts w:cs="Times New Roman"/>
      <w:sz w:val="24"/>
      <w:lang w:val="hr-HR" w:eastAsia="hr-HR"/>
    </w:rPr>
  </w:style>
  <w:style w:type="paragraph" w:customStyle="1" w:styleId="contenttextbig">
    <w:name w:val="contenttextbig"/>
    <w:basedOn w:val="Normal"/>
    <w:rsid w:val="00274B85"/>
    <w:pPr>
      <w:spacing w:before="100" w:beforeAutospacing="1" w:after="100" w:afterAutospacing="1"/>
    </w:pPr>
  </w:style>
  <w:style w:type="paragraph" w:styleId="DocumentMap">
    <w:name w:val="Document Map"/>
    <w:basedOn w:val="Normal"/>
    <w:link w:val="DocumentMapChar"/>
    <w:rsid w:val="00274B85"/>
    <w:pPr>
      <w:shd w:val="clear" w:color="auto" w:fill="000080"/>
    </w:pPr>
    <w:rPr>
      <w:rFonts w:ascii="Tahoma" w:hAnsi="Tahoma"/>
      <w:sz w:val="20"/>
      <w:szCs w:val="20"/>
    </w:rPr>
  </w:style>
  <w:style w:type="character" w:customStyle="1" w:styleId="DocumentMapChar">
    <w:name w:val="Document Map Char"/>
    <w:link w:val="DocumentMap"/>
    <w:locked/>
    <w:rsid w:val="00274B85"/>
    <w:rPr>
      <w:rFonts w:ascii="Tahoma" w:hAnsi="Tahoma" w:cs="Times New Roman"/>
    </w:rPr>
  </w:style>
  <w:style w:type="paragraph" w:styleId="List">
    <w:name w:val="List"/>
    <w:basedOn w:val="Normal"/>
    <w:rsid w:val="00274B85"/>
    <w:pPr>
      <w:ind w:left="360" w:hanging="360"/>
    </w:pPr>
  </w:style>
  <w:style w:type="paragraph" w:styleId="List2">
    <w:name w:val="List 2"/>
    <w:basedOn w:val="Normal"/>
    <w:rsid w:val="00274B85"/>
    <w:pPr>
      <w:ind w:left="720" w:hanging="360"/>
    </w:pPr>
  </w:style>
  <w:style w:type="paragraph" w:styleId="List3">
    <w:name w:val="List 3"/>
    <w:basedOn w:val="Normal"/>
    <w:rsid w:val="00274B85"/>
    <w:pPr>
      <w:ind w:left="1080" w:hanging="360"/>
    </w:pPr>
  </w:style>
  <w:style w:type="paragraph" w:styleId="List4">
    <w:name w:val="List 4"/>
    <w:basedOn w:val="Normal"/>
    <w:rsid w:val="00274B85"/>
    <w:pPr>
      <w:ind w:left="1440" w:hanging="360"/>
    </w:pPr>
  </w:style>
  <w:style w:type="paragraph" w:styleId="List5">
    <w:name w:val="List 5"/>
    <w:basedOn w:val="Normal"/>
    <w:rsid w:val="00274B85"/>
    <w:pPr>
      <w:ind w:left="1800" w:hanging="360"/>
    </w:pPr>
  </w:style>
  <w:style w:type="paragraph" w:styleId="ListBullet2">
    <w:name w:val="List Bullet 2"/>
    <w:basedOn w:val="Normal"/>
    <w:rsid w:val="00274B85"/>
    <w:pPr>
      <w:tabs>
        <w:tab w:val="num" w:pos="720"/>
        <w:tab w:val="num" w:pos="1856"/>
      </w:tabs>
      <w:ind w:left="720" w:hanging="360"/>
    </w:pPr>
  </w:style>
  <w:style w:type="paragraph" w:styleId="ListBullet3">
    <w:name w:val="List Bullet 3"/>
    <w:basedOn w:val="Normal"/>
    <w:rsid w:val="00274B85"/>
    <w:pPr>
      <w:numPr>
        <w:numId w:val="1"/>
      </w:numPr>
      <w:tabs>
        <w:tab w:val="num" w:pos="1080"/>
      </w:tabs>
      <w:ind w:left="1080"/>
    </w:pPr>
  </w:style>
  <w:style w:type="paragraph" w:styleId="ListBullet4">
    <w:name w:val="List Bullet 4"/>
    <w:basedOn w:val="Normal"/>
    <w:rsid w:val="00274B85"/>
    <w:pPr>
      <w:tabs>
        <w:tab w:val="num" w:pos="1440"/>
      </w:tabs>
      <w:ind w:left="1440" w:hanging="360"/>
    </w:pPr>
  </w:style>
  <w:style w:type="paragraph" w:styleId="ListContinue">
    <w:name w:val="List Continue"/>
    <w:basedOn w:val="Normal"/>
    <w:rsid w:val="00274B85"/>
    <w:pPr>
      <w:spacing w:after="120"/>
      <w:ind w:left="360"/>
    </w:pPr>
  </w:style>
  <w:style w:type="paragraph" w:styleId="ListContinue2">
    <w:name w:val="List Continue 2"/>
    <w:basedOn w:val="Normal"/>
    <w:rsid w:val="00274B85"/>
    <w:pPr>
      <w:spacing w:after="120"/>
      <w:ind w:left="720"/>
    </w:pPr>
  </w:style>
  <w:style w:type="paragraph" w:styleId="ListContinue3">
    <w:name w:val="List Continue 3"/>
    <w:basedOn w:val="Normal"/>
    <w:rsid w:val="00274B85"/>
    <w:pPr>
      <w:spacing w:after="120"/>
      <w:ind w:left="1080"/>
    </w:pPr>
  </w:style>
  <w:style w:type="paragraph" w:customStyle="1" w:styleId="Picture">
    <w:name w:val="Picture"/>
    <w:basedOn w:val="Normal"/>
    <w:rsid w:val="00274B85"/>
  </w:style>
  <w:style w:type="paragraph" w:styleId="BodyTextFirstIndent">
    <w:name w:val="Body Text First Indent"/>
    <w:basedOn w:val="BodyText"/>
    <w:link w:val="BodyTextFirstIndentChar"/>
    <w:rsid w:val="00274B85"/>
    <w:pPr>
      <w:ind w:firstLine="210"/>
    </w:pPr>
  </w:style>
  <w:style w:type="character" w:customStyle="1" w:styleId="BodyTextFirstIndentChar">
    <w:name w:val="Body Text First Indent Char"/>
    <w:link w:val="BodyTextFirstIndent"/>
    <w:locked/>
    <w:rsid w:val="00274B85"/>
    <w:rPr>
      <w:rFonts w:cs="Times New Roman"/>
      <w:sz w:val="24"/>
      <w:szCs w:val="24"/>
      <w:lang w:bidi="ar-SA"/>
    </w:rPr>
  </w:style>
  <w:style w:type="paragraph" w:styleId="BodyTextFirstIndent2">
    <w:name w:val="Body Text First Indent 2"/>
    <w:basedOn w:val="BodyTextIndent"/>
    <w:link w:val="BodyTextFirstIndent2Char"/>
    <w:rsid w:val="00274B85"/>
    <w:pPr>
      <w:spacing w:after="120"/>
      <w:ind w:left="360" w:firstLine="210"/>
    </w:pPr>
    <w:rPr>
      <w:lang w:val="en-US" w:eastAsia="en-US"/>
    </w:rPr>
  </w:style>
  <w:style w:type="character" w:customStyle="1" w:styleId="BodyTextFirstIndent2Char">
    <w:name w:val="Body Text First Indent 2 Char"/>
    <w:link w:val="BodyTextFirstIndent2"/>
    <w:locked/>
    <w:rsid w:val="00274B85"/>
    <w:rPr>
      <w:rFonts w:cs="Times New Roman"/>
      <w:sz w:val="24"/>
      <w:lang w:val="en-US" w:eastAsia="en-US"/>
    </w:rPr>
  </w:style>
  <w:style w:type="character" w:customStyle="1" w:styleId="takstbold1">
    <w:name w:val="takstbold1"/>
    <w:rsid w:val="00274B85"/>
    <w:rPr>
      <w:rFonts w:ascii="Arial" w:hAnsi="Arial"/>
      <w:b/>
      <w:color w:val="000000"/>
      <w:sz w:val="20"/>
    </w:rPr>
  </w:style>
  <w:style w:type="paragraph" w:styleId="MacroText">
    <w:name w:val="macro"/>
    <w:link w:val="MacroTextChar"/>
    <w:rsid w:val="00274B85"/>
    <w:pPr>
      <w:widowControl w:val="0"/>
      <w:tabs>
        <w:tab w:val="left" w:pos="480"/>
        <w:tab w:val="left" w:pos="960"/>
        <w:tab w:val="left" w:pos="1440"/>
        <w:tab w:val="left" w:pos="1920"/>
        <w:tab w:val="left" w:pos="2400"/>
        <w:tab w:val="left" w:pos="2880"/>
        <w:tab w:val="left" w:pos="3360"/>
        <w:tab w:val="left" w:pos="3840"/>
        <w:tab w:val="left" w:pos="4320"/>
      </w:tabs>
    </w:pPr>
    <w:rPr>
      <w:rFonts w:ascii="Courier New" w:hAnsi="Courier New"/>
      <w:lang w:val="en-US" w:eastAsia="en-US"/>
    </w:rPr>
  </w:style>
  <w:style w:type="character" w:customStyle="1" w:styleId="MacroTextChar">
    <w:name w:val="Macro Text Char"/>
    <w:link w:val="MacroText"/>
    <w:locked/>
    <w:rsid w:val="00274B85"/>
    <w:rPr>
      <w:rFonts w:ascii="Courier New" w:hAnsi="Courier New" w:cs="Times New Roman"/>
      <w:lang w:val="en-US" w:eastAsia="en-US" w:bidi="ar-SA"/>
    </w:rPr>
  </w:style>
  <w:style w:type="character" w:styleId="FollowedHyperlink">
    <w:name w:val="FollowedHyperlink"/>
    <w:rsid w:val="00274B85"/>
    <w:rPr>
      <w:rFonts w:cs="Times New Roman"/>
      <w:color w:val="800080"/>
      <w:u w:val="single"/>
    </w:rPr>
  </w:style>
  <w:style w:type="paragraph" w:styleId="TOC4">
    <w:name w:val="toc 4"/>
    <w:basedOn w:val="Normal"/>
    <w:next w:val="Normal"/>
    <w:autoRedefine/>
    <w:uiPriority w:val="39"/>
    <w:rsid w:val="00274B85"/>
    <w:pPr>
      <w:ind w:left="720"/>
    </w:pPr>
    <w:rPr>
      <w:rFonts w:ascii="Calibri" w:hAnsi="Calibri"/>
      <w:sz w:val="18"/>
      <w:szCs w:val="18"/>
    </w:rPr>
  </w:style>
  <w:style w:type="paragraph" w:styleId="TOC5">
    <w:name w:val="toc 5"/>
    <w:basedOn w:val="Normal"/>
    <w:next w:val="Normal"/>
    <w:autoRedefine/>
    <w:uiPriority w:val="39"/>
    <w:rsid w:val="00274B85"/>
    <w:pPr>
      <w:ind w:left="960"/>
    </w:pPr>
    <w:rPr>
      <w:rFonts w:ascii="Calibri" w:hAnsi="Calibri"/>
      <w:sz w:val="18"/>
      <w:szCs w:val="18"/>
    </w:rPr>
  </w:style>
  <w:style w:type="paragraph" w:styleId="TOC6">
    <w:name w:val="toc 6"/>
    <w:basedOn w:val="Normal"/>
    <w:next w:val="Normal"/>
    <w:autoRedefine/>
    <w:uiPriority w:val="39"/>
    <w:rsid w:val="00274B85"/>
    <w:pPr>
      <w:ind w:left="1200"/>
    </w:pPr>
    <w:rPr>
      <w:rFonts w:ascii="Calibri" w:hAnsi="Calibri"/>
      <w:sz w:val="18"/>
      <w:szCs w:val="18"/>
    </w:rPr>
  </w:style>
  <w:style w:type="paragraph" w:styleId="TOC7">
    <w:name w:val="toc 7"/>
    <w:basedOn w:val="Normal"/>
    <w:next w:val="Normal"/>
    <w:autoRedefine/>
    <w:uiPriority w:val="39"/>
    <w:rsid w:val="00274B85"/>
    <w:pPr>
      <w:ind w:left="1440"/>
    </w:pPr>
    <w:rPr>
      <w:rFonts w:ascii="Calibri" w:hAnsi="Calibri"/>
      <w:sz w:val="18"/>
      <w:szCs w:val="18"/>
    </w:rPr>
  </w:style>
  <w:style w:type="paragraph" w:styleId="TOC8">
    <w:name w:val="toc 8"/>
    <w:basedOn w:val="Normal"/>
    <w:next w:val="Normal"/>
    <w:autoRedefine/>
    <w:uiPriority w:val="39"/>
    <w:rsid w:val="00274B85"/>
    <w:pPr>
      <w:ind w:left="1680"/>
    </w:pPr>
    <w:rPr>
      <w:rFonts w:ascii="Calibri" w:hAnsi="Calibri"/>
      <w:sz w:val="18"/>
      <w:szCs w:val="18"/>
    </w:rPr>
  </w:style>
  <w:style w:type="paragraph" w:styleId="TOC9">
    <w:name w:val="toc 9"/>
    <w:basedOn w:val="Normal"/>
    <w:next w:val="Normal"/>
    <w:autoRedefine/>
    <w:uiPriority w:val="39"/>
    <w:rsid w:val="00274B85"/>
    <w:pPr>
      <w:ind w:left="1920"/>
    </w:pPr>
    <w:rPr>
      <w:rFonts w:ascii="Calibri" w:hAnsi="Calibri"/>
      <w:sz w:val="18"/>
      <w:szCs w:val="18"/>
    </w:rPr>
  </w:style>
  <w:style w:type="paragraph" w:customStyle="1" w:styleId="a">
    <w:name w:val="Тачке"/>
    <w:basedOn w:val="Normal"/>
    <w:rsid w:val="00274B85"/>
    <w:pPr>
      <w:numPr>
        <w:numId w:val="11"/>
      </w:numPr>
    </w:pPr>
    <w:rPr>
      <w:b/>
      <w:bCs/>
      <w:iCs/>
      <w:color w:val="FF0000"/>
      <w:sz w:val="32"/>
      <w:szCs w:val="28"/>
      <w:u w:val="single"/>
      <w:lang w:val="sr-Cyrl-BA"/>
    </w:rPr>
  </w:style>
  <w:style w:type="paragraph" w:customStyle="1" w:styleId="a0">
    <w:name w:val="Први ниво"/>
    <w:basedOn w:val="Normal"/>
    <w:autoRedefine/>
    <w:rsid w:val="00274B85"/>
    <w:pPr>
      <w:numPr>
        <w:ilvl w:val="1"/>
        <w:numId w:val="11"/>
      </w:numPr>
      <w:tabs>
        <w:tab w:val="clear" w:pos="1080"/>
        <w:tab w:val="num" w:pos="748"/>
      </w:tabs>
      <w:jc w:val="both"/>
    </w:pPr>
    <w:rPr>
      <w:lang w:val="sr-Cyrl-BA"/>
    </w:rPr>
  </w:style>
  <w:style w:type="paragraph" w:customStyle="1" w:styleId="PrviNivoNovi0">
    <w:name w:val="PrviNivoNovi"/>
    <w:basedOn w:val="a0"/>
    <w:rsid w:val="00274B85"/>
    <w:pPr>
      <w:tabs>
        <w:tab w:val="clear" w:pos="748"/>
        <w:tab w:val="num" w:pos="1080"/>
      </w:tabs>
    </w:pPr>
    <w:rPr>
      <w:b/>
    </w:rPr>
  </w:style>
  <w:style w:type="character" w:customStyle="1" w:styleId="msoins0">
    <w:name w:val="msoins"/>
    <w:rsid w:val="00274B85"/>
  </w:style>
  <w:style w:type="paragraph" w:styleId="TableofFigures">
    <w:name w:val="table of figures"/>
    <w:basedOn w:val="Normal"/>
    <w:next w:val="Normal"/>
    <w:rsid w:val="00274B85"/>
  </w:style>
  <w:style w:type="character" w:customStyle="1" w:styleId="xl40Char">
    <w:name w:val="xl40 Char"/>
    <w:link w:val="xl40"/>
    <w:locked/>
    <w:rsid w:val="00274B85"/>
    <w:rPr>
      <w:rFonts w:ascii="Arial" w:hAnsi="Arial"/>
      <w:b/>
      <w:sz w:val="24"/>
      <w:lang w:val="hr-HR" w:eastAsia="hr-HR"/>
    </w:rPr>
  </w:style>
  <w:style w:type="paragraph" w:customStyle="1" w:styleId="xl40">
    <w:name w:val="xl40"/>
    <w:basedOn w:val="Normal"/>
    <w:link w:val="xl40Char"/>
    <w:rsid w:val="00274B85"/>
    <w:pPr>
      <w:spacing w:before="100" w:beforeAutospacing="1" w:after="100" w:afterAutospacing="1"/>
      <w:jc w:val="both"/>
    </w:pPr>
    <w:rPr>
      <w:rFonts w:ascii="Arial" w:hAnsi="Arial"/>
      <w:b/>
      <w:szCs w:val="20"/>
      <w:lang w:val="hr-HR" w:eastAsia="hr-HR"/>
    </w:rPr>
  </w:style>
  <w:style w:type="paragraph" w:customStyle="1" w:styleId="Izvestajnaslov">
    <w:name w:val="Izvestaj_naslov"/>
    <w:basedOn w:val="Normal"/>
    <w:rsid w:val="00274B85"/>
    <w:pPr>
      <w:jc w:val="center"/>
    </w:pPr>
    <w:rPr>
      <w:rFonts w:ascii="Arial" w:hAnsi="Arial" w:cs="Arial"/>
      <w:b/>
      <w:bCs/>
      <w:sz w:val="36"/>
      <w:szCs w:val="36"/>
      <w:lang w:val="sl-SI"/>
    </w:rPr>
  </w:style>
  <w:style w:type="character" w:customStyle="1" w:styleId="a1">
    <w:name w:val="a1"/>
    <w:rsid w:val="00274B85"/>
    <w:rPr>
      <w:color w:val="008000"/>
    </w:rPr>
  </w:style>
  <w:style w:type="paragraph" w:styleId="ListBullet">
    <w:name w:val="List Bullet"/>
    <w:basedOn w:val="Normal"/>
    <w:rsid w:val="00274B85"/>
    <w:pPr>
      <w:tabs>
        <w:tab w:val="num" w:pos="360"/>
      </w:tabs>
      <w:ind w:left="360" w:hanging="360"/>
    </w:pPr>
  </w:style>
  <w:style w:type="paragraph" w:customStyle="1" w:styleId="Pa11">
    <w:name w:val="Pa11"/>
    <w:basedOn w:val="Normal"/>
    <w:next w:val="Normal"/>
    <w:rsid w:val="00274B85"/>
    <w:pPr>
      <w:autoSpaceDE w:val="0"/>
      <w:autoSpaceDN w:val="0"/>
      <w:adjustRightInd w:val="0"/>
      <w:spacing w:line="211" w:lineRule="atLeast"/>
    </w:pPr>
    <w:rPr>
      <w:rFonts w:ascii="Contus T CR" w:hAnsi="Contus T CR"/>
    </w:rPr>
  </w:style>
  <w:style w:type="character" w:customStyle="1" w:styleId="hover1">
    <w:name w:val="hover1"/>
    <w:rsid w:val="00274B85"/>
    <w:rPr>
      <w:rFonts w:ascii="Verdana" w:hAnsi="Verdana"/>
      <w:b/>
      <w:color w:val="333333"/>
      <w:sz w:val="15"/>
    </w:rPr>
  </w:style>
  <w:style w:type="character" w:customStyle="1" w:styleId="xl25">
    <w:name w:val="xl25"/>
    <w:rsid w:val="00274B85"/>
  </w:style>
  <w:style w:type="character" w:customStyle="1" w:styleId="msoins00">
    <w:name w:val="msoins0"/>
    <w:rsid w:val="00274B85"/>
  </w:style>
  <w:style w:type="character" w:customStyle="1" w:styleId="CharChar16">
    <w:name w:val="Char Char16"/>
    <w:semiHidden/>
    <w:locked/>
    <w:rsid w:val="00274B85"/>
    <w:rPr>
      <w:rFonts w:ascii="Arial" w:hAnsi="Arial"/>
      <w:b/>
      <w:sz w:val="26"/>
      <w:lang w:val="en-US" w:eastAsia="en-US"/>
    </w:rPr>
  </w:style>
  <w:style w:type="paragraph" w:styleId="NormalIndent">
    <w:name w:val="Normal Indent"/>
    <w:basedOn w:val="Normal"/>
    <w:rsid w:val="00274B85"/>
    <w:pPr>
      <w:ind w:left="720"/>
      <w:jc w:val="both"/>
    </w:pPr>
    <w:rPr>
      <w:lang w:val="sl-SI"/>
    </w:rPr>
  </w:style>
  <w:style w:type="paragraph" w:customStyle="1" w:styleId="NormalCenter">
    <w:name w:val="Normal Center"/>
    <w:basedOn w:val="Normal"/>
    <w:rsid w:val="00274B85"/>
    <w:pPr>
      <w:jc w:val="center"/>
    </w:pPr>
    <w:rPr>
      <w:rFonts w:ascii="Arial Narrow" w:hAnsi="Arial Narrow"/>
      <w:bCs/>
      <w:sz w:val="20"/>
      <w:lang w:val="en-GB"/>
    </w:rPr>
  </w:style>
  <w:style w:type="character" w:customStyle="1" w:styleId="CharChar8">
    <w:name w:val="Char Char8"/>
    <w:semiHidden/>
    <w:locked/>
    <w:rsid w:val="00274B85"/>
    <w:rPr>
      <w:rFonts w:ascii="Times Cirilica" w:hAnsi="Times Cirilica"/>
      <w:lang w:val="en-US" w:eastAsia="en-US"/>
    </w:rPr>
  </w:style>
  <w:style w:type="character" w:customStyle="1" w:styleId="apple-style-span">
    <w:name w:val="apple-style-span"/>
    <w:rsid w:val="00274B85"/>
    <w:rPr>
      <w:rFonts w:cs="Times New Roman"/>
    </w:rPr>
  </w:style>
  <w:style w:type="paragraph" w:styleId="TOCHeading">
    <w:name w:val="TOC Heading"/>
    <w:basedOn w:val="Heading1"/>
    <w:next w:val="Normal"/>
    <w:qFormat/>
    <w:rsid w:val="00274B85"/>
    <w:pPr>
      <w:keepLines/>
      <w:spacing w:before="480" w:line="276" w:lineRule="auto"/>
      <w:jc w:val="left"/>
      <w:outlineLvl w:val="9"/>
    </w:pPr>
    <w:rPr>
      <w:rFonts w:ascii="Cambria" w:hAnsi="Cambria" w:cs="Times New Roman"/>
      <w:bCs/>
      <w:color w:val="365F91"/>
      <w:sz w:val="28"/>
      <w:szCs w:val="28"/>
    </w:rPr>
  </w:style>
  <w:style w:type="paragraph" w:customStyle="1" w:styleId="prvinivonovi">
    <w:name w:val="prvinivonovi"/>
    <w:basedOn w:val="Normal"/>
    <w:rsid w:val="00274B85"/>
    <w:pPr>
      <w:numPr>
        <w:ilvl w:val="1"/>
        <w:numId w:val="2"/>
      </w:numPr>
      <w:tabs>
        <w:tab w:val="num" w:pos="1146"/>
      </w:tabs>
      <w:ind w:left="858" w:hanging="432"/>
      <w:jc w:val="both"/>
    </w:pPr>
    <w:rPr>
      <w:b/>
      <w:bCs/>
      <w:lang w:val="bs-Latn-BA" w:eastAsia="bs-Latn-BA"/>
    </w:rPr>
  </w:style>
  <w:style w:type="paragraph" w:styleId="Revision">
    <w:name w:val="Revision"/>
    <w:hidden/>
    <w:semiHidden/>
    <w:rsid w:val="00274B85"/>
    <w:rPr>
      <w:sz w:val="24"/>
      <w:szCs w:val="24"/>
      <w:lang w:val="en-US" w:eastAsia="en-US"/>
    </w:rPr>
  </w:style>
  <w:style w:type="character" w:styleId="Strong">
    <w:name w:val="Strong"/>
    <w:qFormat/>
    <w:rsid w:val="00CF2D15"/>
    <w:rPr>
      <w:rFonts w:cs="Times New Roman"/>
      <w:b/>
    </w:rPr>
  </w:style>
  <w:style w:type="character" w:customStyle="1" w:styleId="Bodytext0">
    <w:name w:val="Body text_"/>
    <w:link w:val="BodyText3"/>
    <w:locked/>
    <w:rsid w:val="00C66969"/>
    <w:rPr>
      <w:sz w:val="17"/>
      <w:shd w:val="clear" w:color="auto" w:fill="FFFFFF"/>
    </w:rPr>
  </w:style>
  <w:style w:type="character" w:customStyle="1" w:styleId="BodyText1">
    <w:name w:val="Body Text1"/>
    <w:rsid w:val="00C66969"/>
    <w:rPr>
      <w:rFonts w:cs="Times New Roman"/>
      <w:sz w:val="17"/>
      <w:szCs w:val="17"/>
      <w:shd w:val="clear" w:color="auto" w:fill="FFFFFF"/>
    </w:rPr>
  </w:style>
  <w:style w:type="character" w:customStyle="1" w:styleId="BodyText2">
    <w:name w:val="Body Text2"/>
    <w:rsid w:val="00C66969"/>
    <w:rPr>
      <w:rFonts w:cs="Times New Roman"/>
      <w:sz w:val="17"/>
      <w:szCs w:val="17"/>
      <w:shd w:val="clear" w:color="auto" w:fill="FFFFFF"/>
    </w:rPr>
  </w:style>
  <w:style w:type="character" w:customStyle="1" w:styleId="Heading10">
    <w:name w:val="Heading #1_"/>
    <w:link w:val="Heading11"/>
    <w:locked/>
    <w:rsid w:val="00C66969"/>
    <w:rPr>
      <w:sz w:val="17"/>
      <w:shd w:val="clear" w:color="auto" w:fill="FFFFFF"/>
    </w:rPr>
  </w:style>
  <w:style w:type="character" w:customStyle="1" w:styleId="Heading12">
    <w:name w:val="Heading #1"/>
    <w:rsid w:val="00C66969"/>
    <w:rPr>
      <w:rFonts w:cs="Times New Roman"/>
      <w:sz w:val="17"/>
      <w:szCs w:val="17"/>
      <w:shd w:val="clear" w:color="auto" w:fill="FFFFFF"/>
    </w:rPr>
  </w:style>
  <w:style w:type="character" w:customStyle="1" w:styleId="Tablecaption">
    <w:name w:val="Table caption_"/>
    <w:link w:val="Tablecaption1"/>
    <w:locked/>
    <w:rsid w:val="00C66969"/>
    <w:rPr>
      <w:sz w:val="17"/>
      <w:shd w:val="clear" w:color="auto" w:fill="FFFFFF"/>
    </w:rPr>
  </w:style>
  <w:style w:type="paragraph" w:customStyle="1" w:styleId="BodyText3">
    <w:name w:val="Body Text3"/>
    <w:basedOn w:val="Normal"/>
    <w:link w:val="Bodytext0"/>
    <w:rsid w:val="00C66969"/>
    <w:pPr>
      <w:shd w:val="clear" w:color="auto" w:fill="FFFFFF"/>
      <w:spacing w:line="240" w:lineRule="atLeast"/>
      <w:jc w:val="both"/>
    </w:pPr>
    <w:rPr>
      <w:sz w:val="17"/>
      <w:szCs w:val="20"/>
    </w:rPr>
  </w:style>
  <w:style w:type="paragraph" w:customStyle="1" w:styleId="Heading11">
    <w:name w:val="Heading #11"/>
    <w:basedOn w:val="Normal"/>
    <w:link w:val="Heading10"/>
    <w:rsid w:val="00C66969"/>
    <w:pPr>
      <w:shd w:val="clear" w:color="auto" w:fill="FFFFFF"/>
      <w:spacing w:before="180" w:after="60" w:line="240" w:lineRule="atLeast"/>
      <w:outlineLvl w:val="0"/>
    </w:pPr>
    <w:rPr>
      <w:sz w:val="17"/>
      <w:szCs w:val="20"/>
    </w:rPr>
  </w:style>
  <w:style w:type="paragraph" w:customStyle="1" w:styleId="Tablecaption1">
    <w:name w:val="Table caption1"/>
    <w:basedOn w:val="Normal"/>
    <w:link w:val="Tablecaption"/>
    <w:rsid w:val="00C66969"/>
    <w:pPr>
      <w:shd w:val="clear" w:color="auto" w:fill="FFFFFF"/>
      <w:spacing w:line="178" w:lineRule="exact"/>
      <w:jc w:val="both"/>
    </w:pPr>
    <w:rPr>
      <w:sz w:val="17"/>
      <w:szCs w:val="20"/>
    </w:rPr>
  </w:style>
  <w:style w:type="character" w:customStyle="1" w:styleId="Bodytext5">
    <w:name w:val="Body text (5)_"/>
    <w:link w:val="Bodytext51"/>
    <w:locked/>
    <w:rsid w:val="00C66969"/>
    <w:rPr>
      <w:sz w:val="15"/>
      <w:shd w:val="clear" w:color="auto" w:fill="FFFFFF"/>
    </w:rPr>
  </w:style>
  <w:style w:type="character" w:customStyle="1" w:styleId="Bodytext50">
    <w:name w:val="Body text (5)"/>
    <w:rsid w:val="00C66969"/>
    <w:rPr>
      <w:rFonts w:cs="Times New Roman"/>
      <w:sz w:val="15"/>
      <w:szCs w:val="15"/>
      <w:shd w:val="clear" w:color="auto" w:fill="FFFFFF"/>
    </w:rPr>
  </w:style>
  <w:style w:type="character" w:customStyle="1" w:styleId="Bodytext52">
    <w:name w:val="Body text (5)2"/>
    <w:rsid w:val="00C66969"/>
    <w:rPr>
      <w:rFonts w:cs="Times New Roman"/>
      <w:sz w:val="15"/>
      <w:szCs w:val="15"/>
      <w:shd w:val="clear" w:color="auto" w:fill="FFFFFF"/>
    </w:rPr>
  </w:style>
  <w:style w:type="paragraph" w:customStyle="1" w:styleId="Bodytext51">
    <w:name w:val="Body text (5)1"/>
    <w:basedOn w:val="Normal"/>
    <w:link w:val="Bodytext5"/>
    <w:rsid w:val="00C66969"/>
    <w:pPr>
      <w:shd w:val="clear" w:color="auto" w:fill="FFFFFF"/>
      <w:spacing w:line="158" w:lineRule="exact"/>
      <w:jc w:val="right"/>
    </w:pPr>
    <w:rPr>
      <w:sz w:val="15"/>
      <w:szCs w:val="20"/>
    </w:rPr>
  </w:style>
  <w:style w:type="character" w:customStyle="1" w:styleId="Tablecaption2">
    <w:name w:val="Table caption (2)_"/>
    <w:link w:val="Tablecaption21"/>
    <w:locked/>
    <w:rsid w:val="00C66969"/>
    <w:rPr>
      <w:sz w:val="17"/>
      <w:shd w:val="clear" w:color="auto" w:fill="FFFFFF"/>
    </w:rPr>
  </w:style>
  <w:style w:type="character" w:customStyle="1" w:styleId="Tablecaption20">
    <w:name w:val="Table caption (2)"/>
    <w:rsid w:val="00C66969"/>
    <w:rPr>
      <w:rFonts w:cs="Times New Roman"/>
      <w:sz w:val="17"/>
      <w:szCs w:val="17"/>
      <w:shd w:val="clear" w:color="auto" w:fill="FFFFFF"/>
    </w:rPr>
  </w:style>
  <w:style w:type="paragraph" w:customStyle="1" w:styleId="Tablecaption21">
    <w:name w:val="Table caption (2)1"/>
    <w:basedOn w:val="Normal"/>
    <w:link w:val="Tablecaption2"/>
    <w:rsid w:val="00C66969"/>
    <w:pPr>
      <w:shd w:val="clear" w:color="auto" w:fill="FFFFFF"/>
      <w:spacing w:line="240" w:lineRule="atLeast"/>
    </w:pPr>
    <w:rPr>
      <w:sz w:val="17"/>
      <w:szCs w:val="20"/>
    </w:rPr>
  </w:style>
  <w:style w:type="table" w:customStyle="1" w:styleId="MediumShading11">
    <w:name w:val="Medium Shading 11"/>
    <w:rsid w:val="002575C1"/>
    <w:rPr>
      <w:lang w:val="en-US"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MediumGrid31">
    <w:name w:val="Medium Grid 31"/>
    <w:rsid w:val="002575C1"/>
    <w:rPr>
      <w:lang w:val="en-US" w:eastAsia="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style>
  <w:style w:type="table" w:customStyle="1" w:styleId="LightShading-Accent21">
    <w:name w:val="Light Shading - Accent 21"/>
    <w:rsid w:val="002575C1"/>
    <w:rPr>
      <w:color w:val="943634"/>
      <w:lang w:val="en-US" w:eastAsia="en-US"/>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style>
  <w:style w:type="table" w:customStyle="1" w:styleId="MediumGrid1-Accent11">
    <w:name w:val="Medium Grid 1 - Accent 11"/>
    <w:rsid w:val="002575C1"/>
    <w:rPr>
      <w:lang w:val="en-US"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style>
  <w:style w:type="numbering" w:styleId="111111">
    <w:name w:val="Outline List 2"/>
    <w:basedOn w:val="NoList"/>
    <w:uiPriority w:val="99"/>
    <w:rsid w:val="0020282B"/>
    <w:pPr>
      <w:numPr>
        <w:numId w:val="6"/>
      </w:numPr>
    </w:pPr>
  </w:style>
  <w:style w:type="numbering" w:customStyle="1" w:styleId="proba">
    <w:name w:val="proba"/>
    <w:rsid w:val="0020282B"/>
    <w:pPr>
      <w:numPr>
        <w:numId w:val="10"/>
      </w:numPr>
    </w:pPr>
  </w:style>
  <w:style w:type="character" w:customStyle="1" w:styleId="apple-converted-space">
    <w:name w:val="apple-converted-space"/>
    <w:rsid w:val="00304336"/>
  </w:style>
  <w:style w:type="table" w:styleId="LightShading-Accent2">
    <w:name w:val="Light Shading Accent 2"/>
    <w:basedOn w:val="TableNormal"/>
    <w:uiPriority w:val="60"/>
    <w:rsid w:val="00B05E41"/>
    <w:rPr>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styleId="MediumGrid1-Accent1">
    <w:name w:val="Medium Grid 1 Accent 1"/>
    <w:basedOn w:val="TableNormal"/>
    <w:uiPriority w:val="67"/>
    <w:rsid w:val="00B05E4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rFonts w:cs="Times New Roman"/>
        <w:b/>
        <w:bCs/>
      </w:rPr>
    </w:tblStylePr>
    <w:tblStylePr w:type="lastRow">
      <w:rPr>
        <w:rFonts w:cs="Times New Roman"/>
        <w:b/>
        <w:bCs/>
      </w:rPr>
      <w:tblPr/>
      <w:tcPr>
        <w:tcBorders>
          <w:top w:val="single" w:sz="18" w:space="0" w:color="7BA0C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customStyle="1" w:styleId="MediumShading111">
    <w:name w:val="Medium Shading 111"/>
    <w:rsid w:val="00B05E41"/>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MediumGrid311">
    <w:name w:val="Medium Grid 311"/>
    <w:rsid w:val="00B05E41"/>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style>
  <w:style w:type="table" w:customStyle="1" w:styleId="LightShading-Accent212">
    <w:name w:val="Light Shading - Accent 212"/>
    <w:rsid w:val="00B05E41"/>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style>
  <w:style w:type="table" w:customStyle="1" w:styleId="MediumGrid1-Accent112">
    <w:name w:val="Medium Grid 1 - Accent 112"/>
    <w:rsid w:val="00B05E41"/>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style>
  <w:style w:type="character" w:customStyle="1" w:styleId="CharChar17">
    <w:name w:val="Char Char17"/>
    <w:locked/>
    <w:rsid w:val="00B05E41"/>
    <w:rPr>
      <w:rFonts w:ascii="Arial" w:hAnsi="Arial"/>
      <w:b/>
      <w:i/>
      <w:sz w:val="28"/>
      <w:lang w:val="en-US" w:eastAsia="en-US"/>
    </w:rPr>
  </w:style>
  <w:style w:type="paragraph" w:customStyle="1" w:styleId="Default">
    <w:name w:val="Default"/>
    <w:rsid w:val="00B05E41"/>
    <w:pPr>
      <w:autoSpaceDE w:val="0"/>
      <w:autoSpaceDN w:val="0"/>
      <w:adjustRightInd w:val="0"/>
    </w:pPr>
    <w:rPr>
      <w:rFonts w:ascii="Calibri" w:hAnsi="Calibri" w:cs="Calibri"/>
      <w:color w:val="000000"/>
      <w:sz w:val="24"/>
      <w:szCs w:val="24"/>
    </w:rPr>
  </w:style>
  <w:style w:type="paragraph" w:customStyle="1" w:styleId="000">
    <w:name w:val="000"/>
    <w:aliases w:val="standaard,standaard uitvullen"/>
    <w:basedOn w:val="Normal"/>
    <w:rsid w:val="004B5F69"/>
    <w:pPr>
      <w:overflowPunct w:val="0"/>
      <w:autoSpaceDE w:val="0"/>
      <w:autoSpaceDN w:val="0"/>
      <w:adjustRightInd w:val="0"/>
      <w:spacing w:line="280" w:lineRule="atLeast"/>
      <w:jc w:val="both"/>
      <w:textAlignment w:val="baseline"/>
    </w:pPr>
    <w:rPr>
      <w:szCs w:val="20"/>
      <w:lang w:val="en-GB"/>
    </w:rPr>
  </w:style>
  <w:style w:type="paragraph" w:customStyle="1" w:styleId="SingleSpacing">
    <w:name w:val="Single Spacing"/>
    <w:aliases w:val="ss,Single spacing"/>
    <w:basedOn w:val="Normal"/>
    <w:rsid w:val="004B5F69"/>
    <w:pPr>
      <w:overflowPunct w:val="0"/>
      <w:autoSpaceDE w:val="0"/>
      <w:autoSpaceDN w:val="0"/>
      <w:adjustRightInd w:val="0"/>
      <w:spacing w:line="280" w:lineRule="atLeast"/>
      <w:jc w:val="both"/>
      <w:textAlignment w:val="baseline"/>
    </w:pPr>
    <w:rPr>
      <w:rFonts w:ascii="Times" w:hAnsi="Times"/>
      <w:szCs w:val="20"/>
    </w:rPr>
  </w:style>
  <w:style w:type="paragraph" w:styleId="BodyText20">
    <w:name w:val="Body Text 2"/>
    <w:basedOn w:val="Normal"/>
    <w:link w:val="BodyText2Char"/>
    <w:locked/>
    <w:rsid w:val="004B5F69"/>
    <w:pPr>
      <w:spacing w:after="120" w:line="480" w:lineRule="auto"/>
    </w:pPr>
  </w:style>
  <w:style w:type="character" w:customStyle="1" w:styleId="BodyText2Char">
    <w:name w:val="Body Text 2 Char"/>
    <w:link w:val="BodyText20"/>
    <w:rsid w:val="004B5F69"/>
    <w:rPr>
      <w:sz w:val="24"/>
      <w:szCs w:val="24"/>
      <w:lang w:val="en-US" w:eastAsia="en-US"/>
    </w:rPr>
  </w:style>
  <w:style w:type="paragraph" w:customStyle="1" w:styleId="FRD3rdSubheadline">
    <w:name w:val="FRD 3rd Subheadline"/>
    <w:basedOn w:val="Normal"/>
    <w:rsid w:val="004B5F69"/>
    <w:pPr>
      <w:keepNext/>
      <w:keepLines/>
      <w:overflowPunct w:val="0"/>
      <w:autoSpaceDE w:val="0"/>
      <w:autoSpaceDN w:val="0"/>
      <w:adjustRightInd w:val="0"/>
      <w:spacing w:before="120" w:after="80" w:line="260" w:lineRule="exact"/>
      <w:textAlignment w:val="baseline"/>
    </w:pPr>
    <w:rPr>
      <w:rFonts w:ascii="EY Gothic Cond Medium" w:hAnsi="EY Gothic Cond Medium"/>
      <w:i/>
      <w:iCs/>
      <w:sz w:val="26"/>
      <w:szCs w:val="20"/>
    </w:rPr>
  </w:style>
  <w:style w:type="paragraph" w:customStyle="1" w:styleId="BodySingle">
    <w:name w:val="Body Single"/>
    <w:rsid w:val="004B5F69"/>
    <w:rPr>
      <w:color w:val="000000"/>
      <w:sz w:val="24"/>
      <w:lang w:val="en-US" w:eastAsia="en-US"/>
    </w:rPr>
  </w:style>
  <w:style w:type="paragraph" w:customStyle="1" w:styleId="FRDText">
    <w:name w:val="FRD Text"/>
    <w:basedOn w:val="Normal"/>
    <w:link w:val="FRDTextChar"/>
    <w:rsid w:val="004B5F69"/>
    <w:pPr>
      <w:overflowPunct w:val="0"/>
      <w:autoSpaceDE w:val="0"/>
      <w:autoSpaceDN w:val="0"/>
      <w:adjustRightInd w:val="0"/>
      <w:spacing w:after="120" w:line="280" w:lineRule="exact"/>
      <w:textAlignment w:val="baseline"/>
    </w:pPr>
    <w:rPr>
      <w:sz w:val="22"/>
      <w:szCs w:val="20"/>
    </w:rPr>
  </w:style>
  <w:style w:type="character" w:customStyle="1" w:styleId="FRDTextChar">
    <w:name w:val="FRD Text Char"/>
    <w:link w:val="FRDText"/>
    <w:rsid w:val="004B5F69"/>
    <w:rPr>
      <w:sz w:val="22"/>
      <w:lang w:val="en-US" w:eastAsia="en-US"/>
    </w:rPr>
  </w:style>
  <w:style w:type="paragraph" w:customStyle="1" w:styleId="CharCharCharCharCharCharChar">
    <w:name w:val="Char Char Char Char Char Char Char"/>
    <w:basedOn w:val="Normal"/>
    <w:rsid w:val="004B5F69"/>
    <w:pPr>
      <w:spacing w:after="160" w:line="240" w:lineRule="exact"/>
    </w:pPr>
    <w:rPr>
      <w:rFonts w:ascii="Symbol" w:eastAsia="Calibri" w:hAnsi="Symbol" w:cs="Calibri"/>
      <w:sz w:val="20"/>
      <w:szCs w:val="20"/>
    </w:rPr>
  </w:style>
  <w:style w:type="paragraph" w:styleId="BodyTextIndent2">
    <w:name w:val="Body Text Indent 2"/>
    <w:basedOn w:val="Normal"/>
    <w:link w:val="BodyTextIndent2Char"/>
    <w:locked/>
    <w:rsid w:val="004B5F69"/>
    <w:pPr>
      <w:spacing w:after="120" w:line="480" w:lineRule="auto"/>
      <w:ind w:left="283"/>
    </w:pPr>
    <w:rPr>
      <w:lang w:val="hr-HR"/>
    </w:rPr>
  </w:style>
  <w:style w:type="character" w:customStyle="1" w:styleId="BodyTextIndent2Char">
    <w:name w:val="Body Text Indent 2 Char"/>
    <w:link w:val="BodyTextIndent2"/>
    <w:rsid w:val="004B5F69"/>
    <w:rPr>
      <w:sz w:val="24"/>
      <w:szCs w:val="24"/>
      <w:lang w:val="hr-HR" w:eastAsia="en-US"/>
    </w:rPr>
  </w:style>
  <w:style w:type="paragraph" w:styleId="BodyTextIndent3">
    <w:name w:val="Body Text Indent 3"/>
    <w:basedOn w:val="Normal"/>
    <w:link w:val="BodyTextIndent3Char"/>
    <w:locked/>
    <w:rsid w:val="004B5F69"/>
    <w:pPr>
      <w:spacing w:after="120"/>
      <w:ind w:left="283"/>
    </w:pPr>
    <w:rPr>
      <w:sz w:val="16"/>
      <w:szCs w:val="16"/>
    </w:rPr>
  </w:style>
  <w:style w:type="character" w:customStyle="1" w:styleId="BodyTextIndent3Char">
    <w:name w:val="Body Text Indent 3 Char"/>
    <w:link w:val="BodyTextIndent3"/>
    <w:rsid w:val="004B5F69"/>
    <w:rPr>
      <w:sz w:val="16"/>
      <w:szCs w:val="16"/>
      <w:lang w:val="en-US" w:eastAsia="en-US"/>
    </w:rPr>
  </w:style>
  <w:style w:type="paragraph" w:customStyle="1" w:styleId="AlignWithoutBrackets">
    <w:name w:val="AlignWithoutBrackets"/>
    <w:basedOn w:val="Normal"/>
    <w:rsid w:val="004B5F69"/>
    <w:pPr>
      <w:widowControl w:val="0"/>
      <w:tabs>
        <w:tab w:val="left" w:pos="-1440"/>
        <w:tab w:val="left" w:pos="-720"/>
      </w:tabs>
      <w:suppressAutoHyphens/>
      <w:ind w:left="153" w:hanging="153"/>
      <w:jc w:val="right"/>
    </w:pPr>
    <w:rPr>
      <w:spacing w:val="-2"/>
      <w:sz w:val="18"/>
      <w:szCs w:val="20"/>
      <w:lang w:val="en-GB"/>
    </w:rPr>
  </w:style>
  <w:style w:type="paragraph" w:customStyle="1" w:styleId="Double">
    <w:name w:val="Double"/>
    <w:basedOn w:val="Normal"/>
    <w:rsid w:val="004B5F69"/>
    <w:pPr>
      <w:widowControl w:val="0"/>
      <w:tabs>
        <w:tab w:val="left" w:pos="-1440"/>
        <w:tab w:val="left" w:pos="-720"/>
      </w:tabs>
      <w:suppressAutoHyphens/>
      <w:spacing w:after="130"/>
      <w:jc w:val="right"/>
    </w:pPr>
    <w:rPr>
      <w:rFonts w:ascii="HR Times New Roman EE/ISO 8859" w:hAnsi="HR Times New Roman EE/ISO 8859"/>
      <w:b/>
      <w:spacing w:val="-2"/>
      <w:position w:val="6"/>
      <w:sz w:val="18"/>
      <w:szCs w:val="20"/>
      <w:u w:val="double"/>
      <w:lang w:val="en-GB"/>
    </w:rPr>
  </w:style>
  <w:style w:type="paragraph" w:customStyle="1" w:styleId="AlignBrackets">
    <w:name w:val="AlignBrackets"/>
    <w:basedOn w:val="Normal"/>
    <w:rsid w:val="004B5F69"/>
    <w:pPr>
      <w:widowControl w:val="0"/>
      <w:tabs>
        <w:tab w:val="left" w:pos="-1440"/>
        <w:tab w:val="left" w:pos="-720"/>
      </w:tabs>
      <w:suppressAutoHyphens/>
      <w:ind w:left="153" w:right="-57" w:hanging="153"/>
      <w:jc w:val="right"/>
    </w:pPr>
    <w:rPr>
      <w:spacing w:val="-2"/>
      <w:sz w:val="18"/>
      <w:szCs w:val="20"/>
      <w:lang w:val="en-GB"/>
    </w:rPr>
  </w:style>
  <w:style w:type="numbering" w:customStyle="1" w:styleId="NoList1">
    <w:name w:val="No List1"/>
    <w:next w:val="NoList"/>
    <w:uiPriority w:val="99"/>
    <w:semiHidden/>
    <w:unhideWhenUsed/>
    <w:rsid w:val="004B5F69"/>
  </w:style>
  <w:style w:type="numbering" w:customStyle="1" w:styleId="NoList2">
    <w:name w:val="No List2"/>
    <w:next w:val="NoList"/>
    <w:uiPriority w:val="99"/>
    <w:semiHidden/>
    <w:unhideWhenUsed/>
    <w:rsid w:val="004B5F69"/>
  </w:style>
  <w:style w:type="character" w:customStyle="1" w:styleId="Heading20">
    <w:name w:val="Heading #2_"/>
    <w:link w:val="Heading21"/>
    <w:locked/>
    <w:rsid w:val="002B4BF6"/>
    <w:rPr>
      <w:rFonts w:ascii="Arial" w:hAnsi="Arial" w:cs="Arial"/>
      <w:b/>
      <w:bCs/>
      <w:spacing w:val="1"/>
      <w:sz w:val="21"/>
      <w:szCs w:val="21"/>
      <w:shd w:val="clear" w:color="auto" w:fill="FFFFFF"/>
    </w:rPr>
  </w:style>
  <w:style w:type="paragraph" w:customStyle="1" w:styleId="Heading21">
    <w:name w:val="Heading #2"/>
    <w:basedOn w:val="Normal"/>
    <w:link w:val="Heading20"/>
    <w:rsid w:val="002B4BF6"/>
    <w:pPr>
      <w:shd w:val="clear" w:color="auto" w:fill="FFFFFF"/>
      <w:spacing w:before="180" w:line="274" w:lineRule="exact"/>
      <w:jc w:val="center"/>
      <w:outlineLvl w:val="1"/>
    </w:pPr>
    <w:rPr>
      <w:rFonts w:ascii="Arial" w:hAnsi="Arial" w:cs="Arial"/>
      <w:b/>
      <w:bCs/>
      <w:spacing w:val="1"/>
      <w:sz w:val="21"/>
      <w:szCs w:val="21"/>
    </w:rPr>
  </w:style>
  <w:style w:type="table" w:customStyle="1" w:styleId="LightShading-Accent211">
    <w:name w:val="Light Shading - Accent 211"/>
    <w:rsid w:val="00B916BF"/>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style>
  <w:style w:type="table" w:customStyle="1" w:styleId="MediumGrid1-Accent111">
    <w:name w:val="Medium Grid 1 - Accent 111"/>
    <w:rsid w:val="00B916BF"/>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style>
  <w:style w:type="table" w:customStyle="1" w:styleId="LightShading-Accent22">
    <w:name w:val="Light Shading - Accent 22"/>
    <w:rsid w:val="00B916BF"/>
    <w:rPr>
      <w:color w:val="943634"/>
      <w:lang w:val="hr-HR" w:eastAsia="hr-HR"/>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style>
  <w:style w:type="table" w:customStyle="1" w:styleId="MediumGrid1-Accent12">
    <w:name w:val="Medium Grid 1 - Accent 12"/>
    <w:rsid w:val="00B916BF"/>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style>
  <w:style w:type="paragraph" w:customStyle="1" w:styleId="Bodytext10">
    <w:name w:val="Body text1"/>
    <w:basedOn w:val="Normal"/>
    <w:rsid w:val="00143259"/>
    <w:pPr>
      <w:shd w:val="clear" w:color="auto" w:fill="FFFFFF"/>
      <w:spacing w:after="180" w:line="274" w:lineRule="exact"/>
      <w:ind w:hanging="520"/>
      <w:jc w:val="both"/>
    </w:pPr>
    <w:rPr>
      <w:rFonts w:ascii="Arial" w:hAnsi="Arial" w:cs="Arial"/>
      <w:spacing w:val="1"/>
      <w:sz w:val="21"/>
      <w:szCs w:val="21"/>
      <w:lang w:val="bs-Latn-BA" w:eastAsia="bs-Latn-BA"/>
    </w:rPr>
  </w:style>
  <w:style w:type="paragraph" w:customStyle="1" w:styleId="rtejustify">
    <w:name w:val="rtejustify"/>
    <w:basedOn w:val="Normal"/>
    <w:rsid w:val="007C6174"/>
    <w:pPr>
      <w:spacing w:before="100" w:beforeAutospacing="1" w:after="100" w:afterAutospacing="1"/>
    </w:pPr>
    <w:rPr>
      <w:lang w:val="bs-Latn-BA" w:eastAsia="bs-Latn-BA"/>
    </w:rPr>
  </w:style>
  <w:style w:type="character" w:styleId="Emphasis">
    <w:name w:val="Emphasis"/>
    <w:uiPriority w:val="20"/>
    <w:qFormat/>
    <w:locked/>
    <w:rsid w:val="00894C93"/>
    <w:rPr>
      <w:i/>
      <w:iCs/>
    </w:rPr>
  </w:style>
  <w:style w:type="table" w:styleId="MediumShading2-Accent2">
    <w:name w:val="Medium Shading 2 Accent 2"/>
    <w:basedOn w:val="TableNormal"/>
    <w:uiPriority w:val="64"/>
    <w:rsid w:val="0071421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Grid1-Accent2">
    <w:name w:val="Medium Grid 1 Accent 2"/>
    <w:basedOn w:val="TableNormal"/>
    <w:uiPriority w:val="67"/>
    <w:rsid w:val="00714219"/>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List2-Accent5">
    <w:name w:val="Medium List 2 Accent 5"/>
    <w:basedOn w:val="TableNormal"/>
    <w:uiPriority w:val="66"/>
    <w:rsid w:val="00714219"/>
    <w:rPr>
      <w:rFonts w:asciiTheme="majorHAnsi" w:eastAsiaTheme="majorEastAsia" w:hAnsiTheme="majorHAnsi" w:cstheme="majorBid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ColorfulGrid-Accent2">
    <w:name w:val="Colorful Grid Accent 2"/>
    <w:basedOn w:val="TableNormal"/>
    <w:uiPriority w:val="73"/>
    <w:rsid w:val="00714219"/>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List">
    <w:name w:val="Colorful List"/>
    <w:basedOn w:val="TableNormal"/>
    <w:uiPriority w:val="72"/>
    <w:rsid w:val="00714219"/>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MediumShading1-Accent1">
    <w:name w:val="Medium Shading 1 Accent 1"/>
    <w:basedOn w:val="TableNormal"/>
    <w:uiPriority w:val="63"/>
    <w:rsid w:val="008678E0"/>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LightShading-Accent6">
    <w:name w:val="Light Shading Accent 6"/>
    <w:basedOn w:val="TableNormal"/>
    <w:uiPriority w:val="60"/>
    <w:rsid w:val="008678E0"/>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LightList-Accent4">
    <w:name w:val="Light List Accent 4"/>
    <w:basedOn w:val="TableNormal"/>
    <w:uiPriority w:val="61"/>
    <w:rsid w:val="008678E0"/>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2">
    <w:name w:val="Light List Accent 2"/>
    <w:basedOn w:val="TableNormal"/>
    <w:uiPriority w:val="61"/>
    <w:rsid w:val="008678E0"/>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rsid w:val="008678E0"/>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TableGrid1">
    <w:name w:val="Table Grid1"/>
    <w:basedOn w:val="TableNormal"/>
    <w:next w:val="TableGrid"/>
    <w:rsid w:val="00FD3E9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3-Accent6">
    <w:name w:val="Medium Grid 3 Accent 6"/>
    <w:basedOn w:val="TableNormal"/>
    <w:uiPriority w:val="69"/>
    <w:rsid w:val="00BD67C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Grid3-Accent5">
    <w:name w:val="Medium Grid 3 Accent 5"/>
    <w:basedOn w:val="TableNormal"/>
    <w:uiPriority w:val="69"/>
    <w:rsid w:val="00BD67C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ColorfulList-Accent3">
    <w:name w:val="Colorful List Accent 3"/>
    <w:basedOn w:val="TableNormal"/>
    <w:uiPriority w:val="72"/>
    <w:rsid w:val="00D73BF7"/>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LightGrid-Accent6">
    <w:name w:val="Light Grid Accent 6"/>
    <w:basedOn w:val="TableNormal"/>
    <w:uiPriority w:val="62"/>
    <w:rsid w:val="00D73BF7"/>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MediumGrid1-Accent4">
    <w:name w:val="Medium Grid 1 Accent 4"/>
    <w:basedOn w:val="TableNormal"/>
    <w:uiPriority w:val="67"/>
    <w:rsid w:val="00297F17"/>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rsid w:val="00297F17"/>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TableGrid2">
    <w:name w:val="Table Grid2"/>
    <w:basedOn w:val="TableNormal"/>
    <w:next w:val="TableGrid"/>
    <w:uiPriority w:val="39"/>
    <w:rsid w:val="00AC1EAF"/>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5F5333"/>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590F46"/>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51">
    <w:name w:val="Grid Table 5 Dark - Accent 51"/>
    <w:basedOn w:val="TableNormal"/>
    <w:uiPriority w:val="50"/>
    <w:rsid w:val="00BF023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PlainTable11">
    <w:name w:val="Plain Table 11"/>
    <w:basedOn w:val="TableNormal"/>
    <w:uiPriority w:val="41"/>
    <w:rsid w:val="00BF023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1111111">
    <w:name w:val="1 / 1.1 / 1.1.11"/>
    <w:basedOn w:val="NoList"/>
    <w:next w:val="111111"/>
    <w:uiPriority w:val="99"/>
    <w:rsid w:val="001B70A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s-Latn-BA" w:eastAsia="bs-Latn-BA" w:bidi="ar-SA"/>
      </w:rPr>
    </w:rPrDefault>
    <w:pPrDefault/>
  </w:docDefaults>
  <w:latentStyles w:defLockedState="1"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 List" w:uiPriority="99"/>
    <w:lsdException w:name="Outline List 2" w:uiPriority="99"/>
    <w:lsdException w:name="Table Grid" w:semiHidden="0" w:unhideWhenUsed="0"/>
    <w:lsdException w:name="Placeholder Text" w:locked="0" w:uiPriority="99"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qFormat="1"/>
  </w:latentStyles>
  <w:style w:type="paragraph" w:default="1" w:styleId="Normal">
    <w:name w:val="Normal"/>
    <w:qFormat/>
    <w:rsid w:val="0037100B"/>
    <w:rPr>
      <w:sz w:val="24"/>
      <w:szCs w:val="24"/>
      <w:lang w:val="en-US" w:eastAsia="en-US"/>
    </w:rPr>
  </w:style>
  <w:style w:type="paragraph" w:styleId="Heading1">
    <w:name w:val="heading 1"/>
    <w:basedOn w:val="Normal"/>
    <w:next w:val="Normal"/>
    <w:link w:val="Heading1Char"/>
    <w:qFormat/>
    <w:rsid w:val="00274B85"/>
    <w:pPr>
      <w:keepNext/>
      <w:jc w:val="right"/>
      <w:outlineLvl w:val="0"/>
    </w:pPr>
    <w:rPr>
      <w:rFonts w:ascii="Arial" w:hAnsi="Arial" w:cs="Arial"/>
      <w:b/>
    </w:rPr>
  </w:style>
  <w:style w:type="paragraph" w:styleId="Heading2">
    <w:name w:val="heading 2"/>
    <w:basedOn w:val="Normal"/>
    <w:next w:val="Normal"/>
    <w:link w:val="Heading2Char"/>
    <w:qFormat/>
    <w:rsid w:val="00274B85"/>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74B85"/>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274B85"/>
    <w:pPr>
      <w:keepNext/>
      <w:spacing w:before="240" w:after="60"/>
      <w:outlineLvl w:val="3"/>
    </w:pPr>
    <w:rPr>
      <w:b/>
      <w:bCs/>
      <w:sz w:val="28"/>
      <w:szCs w:val="28"/>
    </w:rPr>
  </w:style>
  <w:style w:type="paragraph" w:styleId="Heading5">
    <w:name w:val="heading 5"/>
    <w:basedOn w:val="Normal"/>
    <w:next w:val="Normal"/>
    <w:link w:val="Heading5Char"/>
    <w:qFormat/>
    <w:rsid w:val="00274B85"/>
    <w:pPr>
      <w:spacing w:before="240" w:after="60"/>
      <w:outlineLvl w:val="4"/>
    </w:pPr>
    <w:rPr>
      <w:b/>
      <w:bCs/>
      <w:i/>
      <w:iCs/>
      <w:sz w:val="26"/>
      <w:szCs w:val="26"/>
    </w:rPr>
  </w:style>
  <w:style w:type="paragraph" w:styleId="Heading6">
    <w:name w:val="heading 6"/>
    <w:basedOn w:val="Normal"/>
    <w:next w:val="Normal"/>
    <w:link w:val="Heading6Char"/>
    <w:qFormat/>
    <w:rsid w:val="00274B85"/>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74B85"/>
    <w:rPr>
      <w:rFonts w:ascii="Arial" w:hAnsi="Arial" w:cs="Times New Roman"/>
      <w:b/>
      <w:sz w:val="24"/>
      <w:lang w:val="en-US" w:eastAsia="en-US"/>
    </w:rPr>
  </w:style>
  <w:style w:type="character" w:customStyle="1" w:styleId="Heading2Char">
    <w:name w:val="Heading 2 Char"/>
    <w:link w:val="Heading2"/>
    <w:locked/>
    <w:rsid w:val="00274B85"/>
    <w:rPr>
      <w:rFonts w:ascii="Arial" w:hAnsi="Arial" w:cs="Times New Roman"/>
      <w:b/>
      <w:i/>
      <w:sz w:val="28"/>
      <w:lang w:val="en-US" w:eastAsia="en-US"/>
    </w:rPr>
  </w:style>
  <w:style w:type="character" w:customStyle="1" w:styleId="Heading3Char">
    <w:name w:val="Heading 3 Char"/>
    <w:link w:val="Heading3"/>
    <w:locked/>
    <w:rsid w:val="00274B85"/>
    <w:rPr>
      <w:rFonts w:ascii="Arial" w:hAnsi="Arial" w:cs="Times New Roman"/>
      <w:b/>
      <w:sz w:val="26"/>
      <w:lang w:val="en-US" w:eastAsia="en-US"/>
    </w:rPr>
  </w:style>
  <w:style w:type="character" w:customStyle="1" w:styleId="Heading4Char">
    <w:name w:val="Heading 4 Char"/>
    <w:link w:val="Heading4"/>
    <w:uiPriority w:val="99"/>
    <w:locked/>
    <w:rsid w:val="00274B85"/>
    <w:rPr>
      <w:rFonts w:cs="Times New Roman"/>
      <w:b/>
      <w:sz w:val="28"/>
      <w:lang w:val="en-US" w:eastAsia="en-US"/>
    </w:rPr>
  </w:style>
  <w:style w:type="character" w:customStyle="1" w:styleId="Heading5Char">
    <w:name w:val="Heading 5 Char"/>
    <w:link w:val="Heading5"/>
    <w:locked/>
    <w:rsid w:val="00274B85"/>
    <w:rPr>
      <w:rFonts w:cs="Times New Roman"/>
      <w:b/>
      <w:i/>
      <w:sz w:val="26"/>
    </w:rPr>
  </w:style>
  <w:style w:type="character" w:customStyle="1" w:styleId="Heading6Char">
    <w:name w:val="Heading 6 Char"/>
    <w:link w:val="Heading6"/>
    <w:locked/>
    <w:rsid w:val="00274B85"/>
    <w:rPr>
      <w:rFonts w:cs="Times New Roman"/>
      <w:b/>
      <w:sz w:val="22"/>
    </w:rPr>
  </w:style>
  <w:style w:type="paragraph" w:styleId="Header">
    <w:name w:val="header"/>
    <w:basedOn w:val="Normal"/>
    <w:link w:val="HeaderChar"/>
    <w:rsid w:val="00274B85"/>
    <w:pPr>
      <w:tabs>
        <w:tab w:val="center" w:pos="4703"/>
        <w:tab w:val="right" w:pos="9406"/>
      </w:tabs>
    </w:pPr>
  </w:style>
  <w:style w:type="character" w:customStyle="1" w:styleId="HeaderChar">
    <w:name w:val="Header Char"/>
    <w:link w:val="Header"/>
    <w:locked/>
    <w:rsid w:val="00274B85"/>
    <w:rPr>
      <w:rFonts w:cs="Times New Roman"/>
      <w:sz w:val="24"/>
      <w:lang w:val="en-US" w:eastAsia="en-US"/>
    </w:rPr>
  </w:style>
  <w:style w:type="paragraph" w:styleId="Footer">
    <w:name w:val="footer"/>
    <w:basedOn w:val="Normal"/>
    <w:link w:val="FooterChar"/>
    <w:rsid w:val="00274B85"/>
    <w:pPr>
      <w:tabs>
        <w:tab w:val="center" w:pos="4703"/>
        <w:tab w:val="right" w:pos="9406"/>
      </w:tabs>
    </w:pPr>
  </w:style>
  <w:style w:type="character" w:customStyle="1" w:styleId="FooterChar">
    <w:name w:val="Footer Char"/>
    <w:link w:val="Footer"/>
    <w:locked/>
    <w:rsid w:val="00274B85"/>
    <w:rPr>
      <w:rFonts w:cs="Times New Roman"/>
      <w:sz w:val="24"/>
    </w:rPr>
  </w:style>
  <w:style w:type="character" w:styleId="PageNumber">
    <w:name w:val="page number"/>
    <w:rsid w:val="00274B85"/>
    <w:rPr>
      <w:rFonts w:cs="Times New Roman"/>
    </w:rPr>
  </w:style>
  <w:style w:type="paragraph" w:styleId="BalloonText">
    <w:name w:val="Balloon Text"/>
    <w:basedOn w:val="Normal"/>
    <w:link w:val="BalloonTextChar"/>
    <w:semiHidden/>
    <w:rsid w:val="00274B85"/>
    <w:rPr>
      <w:rFonts w:ascii="Tahoma" w:hAnsi="Tahoma"/>
      <w:sz w:val="16"/>
      <w:szCs w:val="16"/>
    </w:rPr>
  </w:style>
  <w:style w:type="character" w:customStyle="1" w:styleId="BalloonTextChar">
    <w:name w:val="Balloon Text Char"/>
    <w:link w:val="BalloonText"/>
    <w:semiHidden/>
    <w:locked/>
    <w:rsid w:val="00274B85"/>
    <w:rPr>
      <w:rFonts w:ascii="Tahoma" w:hAnsi="Tahoma" w:cs="Times New Roman"/>
      <w:sz w:val="16"/>
    </w:rPr>
  </w:style>
  <w:style w:type="character" w:styleId="CommentReference">
    <w:name w:val="annotation reference"/>
    <w:rsid w:val="00274B85"/>
    <w:rPr>
      <w:rFonts w:cs="Times New Roman"/>
      <w:sz w:val="16"/>
    </w:rPr>
  </w:style>
  <w:style w:type="paragraph" w:styleId="CommentText">
    <w:name w:val="annotation text"/>
    <w:basedOn w:val="Normal"/>
    <w:link w:val="CommentTextChar"/>
    <w:rsid w:val="00274B85"/>
    <w:rPr>
      <w:sz w:val="20"/>
      <w:szCs w:val="20"/>
    </w:rPr>
  </w:style>
  <w:style w:type="character" w:customStyle="1" w:styleId="CommentTextChar">
    <w:name w:val="Comment Text Char"/>
    <w:link w:val="CommentText"/>
    <w:locked/>
    <w:rsid w:val="00274B85"/>
    <w:rPr>
      <w:rFonts w:cs="Times New Roman"/>
      <w:lang w:val="en-US" w:eastAsia="en-US"/>
    </w:rPr>
  </w:style>
  <w:style w:type="paragraph" w:styleId="CommentSubject">
    <w:name w:val="annotation subject"/>
    <w:basedOn w:val="CommentText"/>
    <w:next w:val="CommentText"/>
    <w:link w:val="CommentSubjectChar"/>
    <w:rsid w:val="00274B85"/>
    <w:rPr>
      <w:b/>
      <w:bCs/>
    </w:rPr>
  </w:style>
  <w:style w:type="character" w:customStyle="1" w:styleId="CommentSubjectChar">
    <w:name w:val="Comment Subject Char"/>
    <w:link w:val="CommentSubject"/>
    <w:locked/>
    <w:rsid w:val="00274B85"/>
    <w:rPr>
      <w:rFonts w:cs="Times New Roman"/>
      <w:b/>
      <w:lang w:val="en-US" w:eastAsia="en-US"/>
    </w:rPr>
  </w:style>
  <w:style w:type="paragraph" w:styleId="Caption">
    <w:name w:val="caption"/>
    <w:basedOn w:val="Normal"/>
    <w:next w:val="Normal"/>
    <w:qFormat/>
    <w:rsid w:val="00274B85"/>
    <w:rPr>
      <w:b/>
      <w:bCs/>
      <w:sz w:val="20"/>
      <w:szCs w:val="20"/>
    </w:rPr>
  </w:style>
  <w:style w:type="paragraph" w:styleId="ListParagraph">
    <w:name w:val="List Paragraph"/>
    <w:basedOn w:val="Normal"/>
    <w:uiPriority w:val="34"/>
    <w:qFormat/>
    <w:rsid w:val="00274B85"/>
    <w:pPr>
      <w:ind w:left="708"/>
    </w:pPr>
  </w:style>
  <w:style w:type="paragraph" w:styleId="TOC3">
    <w:name w:val="toc 3"/>
    <w:basedOn w:val="Normal"/>
    <w:next w:val="Normal"/>
    <w:autoRedefine/>
    <w:uiPriority w:val="39"/>
    <w:rsid w:val="00C52B55"/>
    <w:pPr>
      <w:tabs>
        <w:tab w:val="left" w:pos="960"/>
        <w:tab w:val="right" w:leader="dot" w:pos="9060"/>
      </w:tabs>
      <w:spacing w:after="120"/>
      <w:ind w:left="900" w:hanging="900"/>
    </w:pPr>
    <w:rPr>
      <w:rFonts w:ascii="Cambria" w:hAnsi="Cambria"/>
      <w:iCs/>
      <w:sz w:val="22"/>
      <w:szCs w:val="22"/>
    </w:rPr>
  </w:style>
  <w:style w:type="table" w:styleId="TableGrid">
    <w:name w:val="Table Grid"/>
    <w:basedOn w:val="TableNormal"/>
    <w:rsid w:val="00274B8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274B85"/>
    <w:pPr>
      <w:jc w:val="center"/>
    </w:pPr>
    <w:rPr>
      <w:rFonts w:ascii="Arial" w:hAnsi="Arial"/>
      <w:b/>
      <w:bCs/>
      <w:lang w:val="sl-SI"/>
    </w:rPr>
  </w:style>
  <w:style w:type="character" w:customStyle="1" w:styleId="TitleChar">
    <w:name w:val="Title Char"/>
    <w:link w:val="Title"/>
    <w:locked/>
    <w:rsid w:val="00274B85"/>
    <w:rPr>
      <w:rFonts w:ascii="Arial" w:hAnsi="Arial" w:cs="Times New Roman"/>
      <w:b/>
      <w:sz w:val="24"/>
      <w:lang w:val="sl-SI"/>
    </w:rPr>
  </w:style>
  <w:style w:type="paragraph" w:styleId="BodyText">
    <w:name w:val="Body Text"/>
    <w:basedOn w:val="Normal"/>
    <w:link w:val="BodyTextChar"/>
    <w:rsid w:val="00274B85"/>
    <w:pPr>
      <w:spacing w:after="120"/>
    </w:pPr>
  </w:style>
  <w:style w:type="character" w:customStyle="1" w:styleId="BodyTextChar">
    <w:name w:val="Body Text Char"/>
    <w:link w:val="BodyText"/>
    <w:locked/>
    <w:rsid w:val="00274B85"/>
    <w:rPr>
      <w:rFonts w:cs="Times New Roman"/>
      <w:sz w:val="24"/>
    </w:rPr>
  </w:style>
  <w:style w:type="paragraph" w:styleId="FootnoteText">
    <w:name w:val="footnote text"/>
    <w:basedOn w:val="Normal"/>
    <w:link w:val="FootnoteTextChar"/>
    <w:uiPriority w:val="99"/>
    <w:rsid w:val="00274B85"/>
    <w:rPr>
      <w:rFonts w:ascii="Times Cirilica" w:hAnsi="Times Cirilica"/>
      <w:sz w:val="20"/>
      <w:szCs w:val="20"/>
    </w:rPr>
  </w:style>
  <w:style w:type="character" w:customStyle="1" w:styleId="FootnoteTextChar">
    <w:name w:val="Footnote Text Char"/>
    <w:link w:val="FootnoteText"/>
    <w:uiPriority w:val="99"/>
    <w:locked/>
    <w:rsid w:val="00274B85"/>
    <w:rPr>
      <w:rFonts w:ascii="Times Cirilica" w:hAnsi="Times Cirilica" w:cs="Times New Roman"/>
    </w:rPr>
  </w:style>
  <w:style w:type="character" w:styleId="FootnoteReference">
    <w:name w:val="footnote reference"/>
    <w:uiPriority w:val="99"/>
    <w:rsid w:val="00274B85"/>
    <w:rPr>
      <w:rFonts w:cs="Times New Roman"/>
      <w:vertAlign w:val="superscript"/>
    </w:rPr>
  </w:style>
  <w:style w:type="paragraph" w:styleId="TOC1">
    <w:name w:val="toc 1"/>
    <w:basedOn w:val="Normal"/>
    <w:next w:val="Normal"/>
    <w:autoRedefine/>
    <w:uiPriority w:val="39"/>
    <w:rsid w:val="00932B34"/>
    <w:pPr>
      <w:tabs>
        <w:tab w:val="left" w:pos="900"/>
        <w:tab w:val="right" w:leader="dot" w:pos="9072"/>
      </w:tabs>
      <w:spacing w:before="120" w:after="120"/>
      <w:ind w:left="851" w:right="282" w:hanging="851"/>
      <w:jc w:val="both"/>
    </w:pPr>
    <w:rPr>
      <w:rFonts w:ascii="Calibri" w:hAnsi="Calibri"/>
      <w:b/>
      <w:bCs/>
      <w:caps/>
      <w:sz w:val="20"/>
      <w:szCs w:val="20"/>
    </w:rPr>
  </w:style>
  <w:style w:type="paragraph" w:styleId="TOC2">
    <w:name w:val="toc 2"/>
    <w:basedOn w:val="Normal"/>
    <w:next w:val="Normal"/>
    <w:autoRedefine/>
    <w:uiPriority w:val="39"/>
    <w:rsid w:val="00274B85"/>
    <w:pPr>
      <w:ind w:left="240"/>
    </w:pPr>
    <w:rPr>
      <w:rFonts w:ascii="Calibri" w:hAnsi="Calibri"/>
      <w:smallCaps/>
      <w:sz w:val="20"/>
      <w:szCs w:val="20"/>
    </w:rPr>
  </w:style>
  <w:style w:type="character" w:styleId="Hyperlink">
    <w:name w:val="Hyperlink"/>
    <w:uiPriority w:val="99"/>
    <w:rsid w:val="00274B85"/>
    <w:rPr>
      <w:rFonts w:cs="Times New Roman"/>
      <w:color w:val="0000FF"/>
      <w:u w:val="single"/>
    </w:rPr>
  </w:style>
  <w:style w:type="paragraph" w:styleId="NormalWeb">
    <w:name w:val="Normal (Web)"/>
    <w:basedOn w:val="Normal"/>
    <w:rsid w:val="00274B85"/>
    <w:pPr>
      <w:spacing w:before="100" w:beforeAutospacing="1" w:after="100" w:afterAutospacing="1"/>
    </w:pPr>
  </w:style>
  <w:style w:type="paragraph" w:styleId="BodyTextIndent">
    <w:name w:val="Body Text Indent"/>
    <w:basedOn w:val="Normal"/>
    <w:link w:val="BodyTextIndentChar"/>
    <w:rsid w:val="00274B85"/>
    <w:pPr>
      <w:ind w:left="720"/>
    </w:pPr>
    <w:rPr>
      <w:lang w:val="hr-HR" w:eastAsia="hr-HR"/>
    </w:rPr>
  </w:style>
  <w:style w:type="character" w:customStyle="1" w:styleId="BodyTextIndentChar">
    <w:name w:val="Body Text Indent Char"/>
    <w:link w:val="BodyTextIndent"/>
    <w:locked/>
    <w:rsid w:val="00274B85"/>
    <w:rPr>
      <w:rFonts w:cs="Times New Roman"/>
      <w:sz w:val="24"/>
      <w:lang w:val="hr-HR" w:eastAsia="hr-HR"/>
    </w:rPr>
  </w:style>
  <w:style w:type="paragraph" w:customStyle="1" w:styleId="contenttextbig">
    <w:name w:val="contenttextbig"/>
    <w:basedOn w:val="Normal"/>
    <w:rsid w:val="00274B85"/>
    <w:pPr>
      <w:spacing w:before="100" w:beforeAutospacing="1" w:after="100" w:afterAutospacing="1"/>
    </w:pPr>
  </w:style>
  <w:style w:type="paragraph" w:styleId="DocumentMap">
    <w:name w:val="Document Map"/>
    <w:basedOn w:val="Normal"/>
    <w:link w:val="DocumentMapChar"/>
    <w:rsid w:val="00274B85"/>
    <w:pPr>
      <w:shd w:val="clear" w:color="auto" w:fill="000080"/>
    </w:pPr>
    <w:rPr>
      <w:rFonts w:ascii="Tahoma" w:hAnsi="Tahoma"/>
      <w:sz w:val="20"/>
      <w:szCs w:val="20"/>
    </w:rPr>
  </w:style>
  <w:style w:type="character" w:customStyle="1" w:styleId="DocumentMapChar">
    <w:name w:val="Document Map Char"/>
    <w:link w:val="DocumentMap"/>
    <w:locked/>
    <w:rsid w:val="00274B85"/>
    <w:rPr>
      <w:rFonts w:ascii="Tahoma" w:hAnsi="Tahoma" w:cs="Times New Roman"/>
    </w:rPr>
  </w:style>
  <w:style w:type="paragraph" w:styleId="List">
    <w:name w:val="List"/>
    <w:basedOn w:val="Normal"/>
    <w:rsid w:val="00274B85"/>
    <w:pPr>
      <w:ind w:left="360" w:hanging="360"/>
    </w:pPr>
  </w:style>
  <w:style w:type="paragraph" w:styleId="List2">
    <w:name w:val="List 2"/>
    <w:basedOn w:val="Normal"/>
    <w:rsid w:val="00274B85"/>
    <w:pPr>
      <w:ind w:left="720" w:hanging="360"/>
    </w:pPr>
  </w:style>
  <w:style w:type="paragraph" w:styleId="List3">
    <w:name w:val="List 3"/>
    <w:basedOn w:val="Normal"/>
    <w:rsid w:val="00274B85"/>
    <w:pPr>
      <w:ind w:left="1080" w:hanging="360"/>
    </w:pPr>
  </w:style>
  <w:style w:type="paragraph" w:styleId="List4">
    <w:name w:val="List 4"/>
    <w:basedOn w:val="Normal"/>
    <w:rsid w:val="00274B85"/>
    <w:pPr>
      <w:ind w:left="1440" w:hanging="360"/>
    </w:pPr>
  </w:style>
  <w:style w:type="paragraph" w:styleId="List5">
    <w:name w:val="List 5"/>
    <w:basedOn w:val="Normal"/>
    <w:rsid w:val="00274B85"/>
    <w:pPr>
      <w:ind w:left="1800" w:hanging="360"/>
    </w:pPr>
  </w:style>
  <w:style w:type="paragraph" w:styleId="ListBullet2">
    <w:name w:val="List Bullet 2"/>
    <w:basedOn w:val="Normal"/>
    <w:rsid w:val="00274B85"/>
    <w:pPr>
      <w:tabs>
        <w:tab w:val="num" w:pos="720"/>
        <w:tab w:val="num" w:pos="1856"/>
      </w:tabs>
      <w:ind w:left="720" w:hanging="360"/>
    </w:pPr>
  </w:style>
  <w:style w:type="paragraph" w:styleId="ListBullet3">
    <w:name w:val="List Bullet 3"/>
    <w:basedOn w:val="Normal"/>
    <w:rsid w:val="00274B85"/>
    <w:pPr>
      <w:numPr>
        <w:numId w:val="1"/>
      </w:numPr>
      <w:tabs>
        <w:tab w:val="num" w:pos="1080"/>
      </w:tabs>
      <w:ind w:left="1080"/>
    </w:pPr>
  </w:style>
  <w:style w:type="paragraph" w:styleId="ListBullet4">
    <w:name w:val="List Bullet 4"/>
    <w:basedOn w:val="Normal"/>
    <w:rsid w:val="00274B85"/>
    <w:pPr>
      <w:tabs>
        <w:tab w:val="num" w:pos="1440"/>
      </w:tabs>
      <w:ind w:left="1440" w:hanging="360"/>
    </w:pPr>
  </w:style>
  <w:style w:type="paragraph" w:styleId="ListContinue">
    <w:name w:val="List Continue"/>
    <w:basedOn w:val="Normal"/>
    <w:rsid w:val="00274B85"/>
    <w:pPr>
      <w:spacing w:after="120"/>
      <w:ind w:left="360"/>
    </w:pPr>
  </w:style>
  <w:style w:type="paragraph" w:styleId="ListContinue2">
    <w:name w:val="List Continue 2"/>
    <w:basedOn w:val="Normal"/>
    <w:rsid w:val="00274B85"/>
    <w:pPr>
      <w:spacing w:after="120"/>
      <w:ind w:left="720"/>
    </w:pPr>
  </w:style>
  <w:style w:type="paragraph" w:styleId="ListContinue3">
    <w:name w:val="List Continue 3"/>
    <w:basedOn w:val="Normal"/>
    <w:rsid w:val="00274B85"/>
    <w:pPr>
      <w:spacing w:after="120"/>
      <w:ind w:left="1080"/>
    </w:pPr>
  </w:style>
  <w:style w:type="paragraph" w:customStyle="1" w:styleId="Picture">
    <w:name w:val="Picture"/>
    <w:basedOn w:val="Normal"/>
    <w:rsid w:val="00274B85"/>
  </w:style>
  <w:style w:type="paragraph" w:styleId="BodyTextFirstIndent">
    <w:name w:val="Body Text First Indent"/>
    <w:basedOn w:val="BodyText"/>
    <w:link w:val="BodyTextFirstIndentChar"/>
    <w:rsid w:val="00274B85"/>
    <w:pPr>
      <w:ind w:firstLine="210"/>
    </w:pPr>
  </w:style>
  <w:style w:type="character" w:customStyle="1" w:styleId="BodyTextFirstIndentChar">
    <w:name w:val="Body Text First Indent Char"/>
    <w:link w:val="BodyTextFirstIndent"/>
    <w:locked/>
    <w:rsid w:val="00274B85"/>
    <w:rPr>
      <w:rFonts w:cs="Times New Roman"/>
      <w:sz w:val="24"/>
      <w:szCs w:val="24"/>
      <w:lang w:bidi="ar-SA"/>
    </w:rPr>
  </w:style>
  <w:style w:type="paragraph" w:styleId="BodyTextFirstIndent2">
    <w:name w:val="Body Text First Indent 2"/>
    <w:basedOn w:val="BodyTextIndent"/>
    <w:link w:val="BodyTextFirstIndent2Char"/>
    <w:rsid w:val="00274B85"/>
    <w:pPr>
      <w:spacing w:after="120"/>
      <w:ind w:left="360" w:firstLine="210"/>
    </w:pPr>
    <w:rPr>
      <w:lang w:val="en-US" w:eastAsia="en-US"/>
    </w:rPr>
  </w:style>
  <w:style w:type="character" w:customStyle="1" w:styleId="BodyTextFirstIndent2Char">
    <w:name w:val="Body Text First Indent 2 Char"/>
    <w:link w:val="BodyTextFirstIndent2"/>
    <w:locked/>
    <w:rsid w:val="00274B85"/>
    <w:rPr>
      <w:rFonts w:cs="Times New Roman"/>
      <w:sz w:val="24"/>
      <w:lang w:val="en-US" w:eastAsia="en-US"/>
    </w:rPr>
  </w:style>
  <w:style w:type="character" w:customStyle="1" w:styleId="takstbold1">
    <w:name w:val="takstbold1"/>
    <w:rsid w:val="00274B85"/>
    <w:rPr>
      <w:rFonts w:ascii="Arial" w:hAnsi="Arial"/>
      <w:b/>
      <w:color w:val="000000"/>
      <w:sz w:val="20"/>
    </w:rPr>
  </w:style>
  <w:style w:type="paragraph" w:styleId="MacroText">
    <w:name w:val="macro"/>
    <w:link w:val="MacroTextChar"/>
    <w:rsid w:val="00274B85"/>
    <w:pPr>
      <w:widowControl w:val="0"/>
      <w:tabs>
        <w:tab w:val="left" w:pos="480"/>
        <w:tab w:val="left" w:pos="960"/>
        <w:tab w:val="left" w:pos="1440"/>
        <w:tab w:val="left" w:pos="1920"/>
        <w:tab w:val="left" w:pos="2400"/>
        <w:tab w:val="left" w:pos="2880"/>
        <w:tab w:val="left" w:pos="3360"/>
        <w:tab w:val="left" w:pos="3840"/>
        <w:tab w:val="left" w:pos="4320"/>
      </w:tabs>
    </w:pPr>
    <w:rPr>
      <w:rFonts w:ascii="Courier New" w:hAnsi="Courier New"/>
      <w:lang w:val="en-US" w:eastAsia="en-US"/>
    </w:rPr>
  </w:style>
  <w:style w:type="character" w:customStyle="1" w:styleId="MacroTextChar">
    <w:name w:val="Macro Text Char"/>
    <w:link w:val="MacroText"/>
    <w:locked/>
    <w:rsid w:val="00274B85"/>
    <w:rPr>
      <w:rFonts w:ascii="Courier New" w:hAnsi="Courier New" w:cs="Times New Roman"/>
      <w:lang w:val="en-US" w:eastAsia="en-US" w:bidi="ar-SA"/>
    </w:rPr>
  </w:style>
  <w:style w:type="character" w:styleId="FollowedHyperlink">
    <w:name w:val="FollowedHyperlink"/>
    <w:rsid w:val="00274B85"/>
    <w:rPr>
      <w:rFonts w:cs="Times New Roman"/>
      <w:color w:val="800080"/>
      <w:u w:val="single"/>
    </w:rPr>
  </w:style>
  <w:style w:type="paragraph" w:styleId="TOC4">
    <w:name w:val="toc 4"/>
    <w:basedOn w:val="Normal"/>
    <w:next w:val="Normal"/>
    <w:autoRedefine/>
    <w:uiPriority w:val="39"/>
    <w:rsid w:val="00274B85"/>
    <w:pPr>
      <w:ind w:left="720"/>
    </w:pPr>
    <w:rPr>
      <w:rFonts w:ascii="Calibri" w:hAnsi="Calibri"/>
      <w:sz w:val="18"/>
      <w:szCs w:val="18"/>
    </w:rPr>
  </w:style>
  <w:style w:type="paragraph" w:styleId="TOC5">
    <w:name w:val="toc 5"/>
    <w:basedOn w:val="Normal"/>
    <w:next w:val="Normal"/>
    <w:autoRedefine/>
    <w:uiPriority w:val="39"/>
    <w:rsid w:val="00274B85"/>
    <w:pPr>
      <w:ind w:left="960"/>
    </w:pPr>
    <w:rPr>
      <w:rFonts w:ascii="Calibri" w:hAnsi="Calibri"/>
      <w:sz w:val="18"/>
      <w:szCs w:val="18"/>
    </w:rPr>
  </w:style>
  <w:style w:type="paragraph" w:styleId="TOC6">
    <w:name w:val="toc 6"/>
    <w:basedOn w:val="Normal"/>
    <w:next w:val="Normal"/>
    <w:autoRedefine/>
    <w:uiPriority w:val="39"/>
    <w:rsid w:val="00274B85"/>
    <w:pPr>
      <w:ind w:left="1200"/>
    </w:pPr>
    <w:rPr>
      <w:rFonts w:ascii="Calibri" w:hAnsi="Calibri"/>
      <w:sz w:val="18"/>
      <w:szCs w:val="18"/>
    </w:rPr>
  </w:style>
  <w:style w:type="paragraph" w:styleId="TOC7">
    <w:name w:val="toc 7"/>
    <w:basedOn w:val="Normal"/>
    <w:next w:val="Normal"/>
    <w:autoRedefine/>
    <w:uiPriority w:val="39"/>
    <w:rsid w:val="00274B85"/>
    <w:pPr>
      <w:ind w:left="1440"/>
    </w:pPr>
    <w:rPr>
      <w:rFonts w:ascii="Calibri" w:hAnsi="Calibri"/>
      <w:sz w:val="18"/>
      <w:szCs w:val="18"/>
    </w:rPr>
  </w:style>
  <w:style w:type="paragraph" w:styleId="TOC8">
    <w:name w:val="toc 8"/>
    <w:basedOn w:val="Normal"/>
    <w:next w:val="Normal"/>
    <w:autoRedefine/>
    <w:uiPriority w:val="39"/>
    <w:rsid w:val="00274B85"/>
    <w:pPr>
      <w:ind w:left="1680"/>
    </w:pPr>
    <w:rPr>
      <w:rFonts w:ascii="Calibri" w:hAnsi="Calibri"/>
      <w:sz w:val="18"/>
      <w:szCs w:val="18"/>
    </w:rPr>
  </w:style>
  <w:style w:type="paragraph" w:styleId="TOC9">
    <w:name w:val="toc 9"/>
    <w:basedOn w:val="Normal"/>
    <w:next w:val="Normal"/>
    <w:autoRedefine/>
    <w:uiPriority w:val="39"/>
    <w:rsid w:val="00274B85"/>
    <w:pPr>
      <w:ind w:left="1920"/>
    </w:pPr>
    <w:rPr>
      <w:rFonts w:ascii="Calibri" w:hAnsi="Calibri"/>
      <w:sz w:val="18"/>
      <w:szCs w:val="18"/>
    </w:rPr>
  </w:style>
  <w:style w:type="paragraph" w:customStyle="1" w:styleId="a">
    <w:name w:val="Тачке"/>
    <w:basedOn w:val="Normal"/>
    <w:rsid w:val="00274B85"/>
    <w:pPr>
      <w:numPr>
        <w:numId w:val="11"/>
      </w:numPr>
    </w:pPr>
    <w:rPr>
      <w:b/>
      <w:bCs/>
      <w:iCs/>
      <w:color w:val="FF0000"/>
      <w:sz w:val="32"/>
      <w:szCs w:val="28"/>
      <w:u w:val="single"/>
      <w:lang w:val="sr-Cyrl-BA"/>
    </w:rPr>
  </w:style>
  <w:style w:type="paragraph" w:customStyle="1" w:styleId="a0">
    <w:name w:val="Први ниво"/>
    <w:basedOn w:val="Normal"/>
    <w:autoRedefine/>
    <w:rsid w:val="00274B85"/>
    <w:pPr>
      <w:numPr>
        <w:ilvl w:val="1"/>
        <w:numId w:val="11"/>
      </w:numPr>
      <w:tabs>
        <w:tab w:val="clear" w:pos="1080"/>
        <w:tab w:val="num" w:pos="748"/>
      </w:tabs>
      <w:jc w:val="both"/>
    </w:pPr>
    <w:rPr>
      <w:lang w:val="sr-Cyrl-BA"/>
    </w:rPr>
  </w:style>
  <w:style w:type="paragraph" w:customStyle="1" w:styleId="PrviNivoNovi0">
    <w:name w:val="PrviNivoNovi"/>
    <w:basedOn w:val="a0"/>
    <w:rsid w:val="00274B85"/>
    <w:pPr>
      <w:tabs>
        <w:tab w:val="clear" w:pos="748"/>
        <w:tab w:val="num" w:pos="1080"/>
      </w:tabs>
    </w:pPr>
    <w:rPr>
      <w:b/>
    </w:rPr>
  </w:style>
  <w:style w:type="character" w:customStyle="1" w:styleId="msoins0">
    <w:name w:val="msoins"/>
    <w:rsid w:val="00274B85"/>
  </w:style>
  <w:style w:type="paragraph" w:styleId="TableofFigures">
    <w:name w:val="table of figures"/>
    <w:basedOn w:val="Normal"/>
    <w:next w:val="Normal"/>
    <w:rsid w:val="00274B85"/>
  </w:style>
  <w:style w:type="character" w:customStyle="1" w:styleId="xl40Char">
    <w:name w:val="xl40 Char"/>
    <w:link w:val="xl40"/>
    <w:locked/>
    <w:rsid w:val="00274B85"/>
    <w:rPr>
      <w:rFonts w:ascii="Arial" w:hAnsi="Arial"/>
      <w:b/>
      <w:sz w:val="24"/>
      <w:lang w:val="hr-HR" w:eastAsia="hr-HR"/>
    </w:rPr>
  </w:style>
  <w:style w:type="paragraph" w:customStyle="1" w:styleId="xl40">
    <w:name w:val="xl40"/>
    <w:basedOn w:val="Normal"/>
    <w:link w:val="xl40Char"/>
    <w:rsid w:val="00274B85"/>
    <w:pPr>
      <w:spacing w:before="100" w:beforeAutospacing="1" w:after="100" w:afterAutospacing="1"/>
      <w:jc w:val="both"/>
    </w:pPr>
    <w:rPr>
      <w:rFonts w:ascii="Arial" w:hAnsi="Arial"/>
      <w:b/>
      <w:szCs w:val="20"/>
      <w:lang w:val="hr-HR" w:eastAsia="hr-HR"/>
    </w:rPr>
  </w:style>
  <w:style w:type="paragraph" w:customStyle="1" w:styleId="Izvestajnaslov">
    <w:name w:val="Izvestaj_naslov"/>
    <w:basedOn w:val="Normal"/>
    <w:rsid w:val="00274B85"/>
    <w:pPr>
      <w:jc w:val="center"/>
    </w:pPr>
    <w:rPr>
      <w:rFonts w:ascii="Arial" w:hAnsi="Arial" w:cs="Arial"/>
      <w:b/>
      <w:bCs/>
      <w:sz w:val="36"/>
      <w:szCs w:val="36"/>
      <w:lang w:val="sl-SI"/>
    </w:rPr>
  </w:style>
  <w:style w:type="character" w:customStyle="1" w:styleId="a1">
    <w:name w:val="a1"/>
    <w:rsid w:val="00274B85"/>
    <w:rPr>
      <w:color w:val="008000"/>
    </w:rPr>
  </w:style>
  <w:style w:type="paragraph" w:styleId="ListBullet">
    <w:name w:val="List Bullet"/>
    <w:basedOn w:val="Normal"/>
    <w:rsid w:val="00274B85"/>
    <w:pPr>
      <w:tabs>
        <w:tab w:val="num" w:pos="360"/>
      </w:tabs>
      <w:ind w:left="360" w:hanging="360"/>
    </w:pPr>
  </w:style>
  <w:style w:type="paragraph" w:customStyle="1" w:styleId="Pa11">
    <w:name w:val="Pa11"/>
    <w:basedOn w:val="Normal"/>
    <w:next w:val="Normal"/>
    <w:rsid w:val="00274B85"/>
    <w:pPr>
      <w:autoSpaceDE w:val="0"/>
      <w:autoSpaceDN w:val="0"/>
      <w:adjustRightInd w:val="0"/>
      <w:spacing w:line="211" w:lineRule="atLeast"/>
    </w:pPr>
    <w:rPr>
      <w:rFonts w:ascii="Contus T CR" w:hAnsi="Contus T CR"/>
    </w:rPr>
  </w:style>
  <w:style w:type="character" w:customStyle="1" w:styleId="hover1">
    <w:name w:val="hover1"/>
    <w:rsid w:val="00274B85"/>
    <w:rPr>
      <w:rFonts w:ascii="Verdana" w:hAnsi="Verdana"/>
      <w:b/>
      <w:color w:val="333333"/>
      <w:sz w:val="15"/>
    </w:rPr>
  </w:style>
  <w:style w:type="character" w:customStyle="1" w:styleId="xl25">
    <w:name w:val="xl25"/>
    <w:rsid w:val="00274B85"/>
  </w:style>
  <w:style w:type="character" w:customStyle="1" w:styleId="msoins00">
    <w:name w:val="msoins0"/>
    <w:rsid w:val="00274B85"/>
  </w:style>
  <w:style w:type="character" w:customStyle="1" w:styleId="CharChar16">
    <w:name w:val="Char Char16"/>
    <w:semiHidden/>
    <w:locked/>
    <w:rsid w:val="00274B85"/>
    <w:rPr>
      <w:rFonts w:ascii="Arial" w:hAnsi="Arial"/>
      <w:b/>
      <w:sz w:val="26"/>
      <w:lang w:val="en-US" w:eastAsia="en-US"/>
    </w:rPr>
  </w:style>
  <w:style w:type="paragraph" w:styleId="NormalIndent">
    <w:name w:val="Normal Indent"/>
    <w:basedOn w:val="Normal"/>
    <w:rsid w:val="00274B85"/>
    <w:pPr>
      <w:ind w:left="720"/>
      <w:jc w:val="both"/>
    </w:pPr>
    <w:rPr>
      <w:lang w:val="sl-SI"/>
    </w:rPr>
  </w:style>
  <w:style w:type="paragraph" w:customStyle="1" w:styleId="NormalCenter">
    <w:name w:val="Normal Center"/>
    <w:basedOn w:val="Normal"/>
    <w:rsid w:val="00274B85"/>
    <w:pPr>
      <w:jc w:val="center"/>
    </w:pPr>
    <w:rPr>
      <w:rFonts w:ascii="Arial Narrow" w:hAnsi="Arial Narrow"/>
      <w:bCs/>
      <w:sz w:val="20"/>
      <w:lang w:val="en-GB"/>
    </w:rPr>
  </w:style>
  <w:style w:type="character" w:customStyle="1" w:styleId="CharChar8">
    <w:name w:val="Char Char8"/>
    <w:semiHidden/>
    <w:locked/>
    <w:rsid w:val="00274B85"/>
    <w:rPr>
      <w:rFonts w:ascii="Times Cirilica" w:hAnsi="Times Cirilica"/>
      <w:lang w:val="en-US" w:eastAsia="en-US"/>
    </w:rPr>
  </w:style>
  <w:style w:type="character" w:customStyle="1" w:styleId="apple-style-span">
    <w:name w:val="apple-style-span"/>
    <w:rsid w:val="00274B85"/>
    <w:rPr>
      <w:rFonts w:cs="Times New Roman"/>
    </w:rPr>
  </w:style>
  <w:style w:type="paragraph" w:styleId="TOCHeading">
    <w:name w:val="TOC Heading"/>
    <w:basedOn w:val="Heading1"/>
    <w:next w:val="Normal"/>
    <w:qFormat/>
    <w:rsid w:val="00274B85"/>
    <w:pPr>
      <w:keepLines/>
      <w:spacing w:before="480" w:line="276" w:lineRule="auto"/>
      <w:jc w:val="left"/>
      <w:outlineLvl w:val="9"/>
    </w:pPr>
    <w:rPr>
      <w:rFonts w:ascii="Cambria" w:hAnsi="Cambria" w:cs="Times New Roman"/>
      <w:bCs/>
      <w:color w:val="365F91"/>
      <w:sz w:val="28"/>
      <w:szCs w:val="28"/>
    </w:rPr>
  </w:style>
  <w:style w:type="paragraph" w:customStyle="1" w:styleId="prvinivonovi">
    <w:name w:val="prvinivonovi"/>
    <w:basedOn w:val="Normal"/>
    <w:rsid w:val="00274B85"/>
    <w:pPr>
      <w:numPr>
        <w:ilvl w:val="1"/>
        <w:numId w:val="2"/>
      </w:numPr>
      <w:tabs>
        <w:tab w:val="num" w:pos="1146"/>
      </w:tabs>
      <w:ind w:left="858" w:hanging="432"/>
      <w:jc w:val="both"/>
    </w:pPr>
    <w:rPr>
      <w:b/>
      <w:bCs/>
      <w:lang w:val="bs-Latn-BA" w:eastAsia="bs-Latn-BA"/>
    </w:rPr>
  </w:style>
  <w:style w:type="paragraph" w:styleId="Revision">
    <w:name w:val="Revision"/>
    <w:hidden/>
    <w:semiHidden/>
    <w:rsid w:val="00274B85"/>
    <w:rPr>
      <w:sz w:val="24"/>
      <w:szCs w:val="24"/>
      <w:lang w:val="en-US" w:eastAsia="en-US"/>
    </w:rPr>
  </w:style>
  <w:style w:type="character" w:styleId="Strong">
    <w:name w:val="Strong"/>
    <w:qFormat/>
    <w:rsid w:val="00CF2D15"/>
    <w:rPr>
      <w:rFonts w:cs="Times New Roman"/>
      <w:b/>
    </w:rPr>
  </w:style>
  <w:style w:type="character" w:customStyle="1" w:styleId="Bodytext0">
    <w:name w:val="Body text_"/>
    <w:link w:val="BodyText3"/>
    <w:locked/>
    <w:rsid w:val="00C66969"/>
    <w:rPr>
      <w:sz w:val="17"/>
      <w:shd w:val="clear" w:color="auto" w:fill="FFFFFF"/>
    </w:rPr>
  </w:style>
  <w:style w:type="character" w:customStyle="1" w:styleId="BodyText1">
    <w:name w:val="Body Text1"/>
    <w:rsid w:val="00C66969"/>
    <w:rPr>
      <w:rFonts w:cs="Times New Roman"/>
      <w:sz w:val="17"/>
      <w:szCs w:val="17"/>
      <w:shd w:val="clear" w:color="auto" w:fill="FFFFFF"/>
    </w:rPr>
  </w:style>
  <w:style w:type="character" w:customStyle="1" w:styleId="BodyText2">
    <w:name w:val="Body Text2"/>
    <w:rsid w:val="00C66969"/>
    <w:rPr>
      <w:rFonts w:cs="Times New Roman"/>
      <w:sz w:val="17"/>
      <w:szCs w:val="17"/>
      <w:shd w:val="clear" w:color="auto" w:fill="FFFFFF"/>
    </w:rPr>
  </w:style>
  <w:style w:type="character" w:customStyle="1" w:styleId="Heading10">
    <w:name w:val="Heading #1_"/>
    <w:link w:val="Heading11"/>
    <w:locked/>
    <w:rsid w:val="00C66969"/>
    <w:rPr>
      <w:sz w:val="17"/>
      <w:shd w:val="clear" w:color="auto" w:fill="FFFFFF"/>
    </w:rPr>
  </w:style>
  <w:style w:type="character" w:customStyle="1" w:styleId="Heading12">
    <w:name w:val="Heading #1"/>
    <w:rsid w:val="00C66969"/>
    <w:rPr>
      <w:rFonts w:cs="Times New Roman"/>
      <w:sz w:val="17"/>
      <w:szCs w:val="17"/>
      <w:shd w:val="clear" w:color="auto" w:fill="FFFFFF"/>
    </w:rPr>
  </w:style>
  <w:style w:type="character" w:customStyle="1" w:styleId="Tablecaption">
    <w:name w:val="Table caption_"/>
    <w:link w:val="Tablecaption1"/>
    <w:locked/>
    <w:rsid w:val="00C66969"/>
    <w:rPr>
      <w:sz w:val="17"/>
      <w:shd w:val="clear" w:color="auto" w:fill="FFFFFF"/>
    </w:rPr>
  </w:style>
  <w:style w:type="paragraph" w:customStyle="1" w:styleId="BodyText3">
    <w:name w:val="Body Text3"/>
    <w:basedOn w:val="Normal"/>
    <w:link w:val="Bodytext0"/>
    <w:rsid w:val="00C66969"/>
    <w:pPr>
      <w:shd w:val="clear" w:color="auto" w:fill="FFFFFF"/>
      <w:spacing w:line="240" w:lineRule="atLeast"/>
      <w:jc w:val="both"/>
    </w:pPr>
    <w:rPr>
      <w:sz w:val="17"/>
      <w:szCs w:val="20"/>
    </w:rPr>
  </w:style>
  <w:style w:type="paragraph" w:customStyle="1" w:styleId="Heading11">
    <w:name w:val="Heading #11"/>
    <w:basedOn w:val="Normal"/>
    <w:link w:val="Heading10"/>
    <w:rsid w:val="00C66969"/>
    <w:pPr>
      <w:shd w:val="clear" w:color="auto" w:fill="FFFFFF"/>
      <w:spacing w:before="180" w:after="60" w:line="240" w:lineRule="atLeast"/>
      <w:outlineLvl w:val="0"/>
    </w:pPr>
    <w:rPr>
      <w:sz w:val="17"/>
      <w:szCs w:val="20"/>
    </w:rPr>
  </w:style>
  <w:style w:type="paragraph" w:customStyle="1" w:styleId="Tablecaption1">
    <w:name w:val="Table caption1"/>
    <w:basedOn w:val="Normal"/>
    <w:link w:val="Tablecaption"/>
    <w:rsid w:val="00C66969"/>
    <w:pPr>
      <w:shd w:val="clear" w:color="auto" w:fill="FFFFFF"/>
      <w:spacing w:line="178" w:lineRule="exact"/>
      <w:jc w:val="both"/>
    </w:pPr>
    <w:rPr>
      <w:sz w:val="17"/>
      <w:szCs w:val="20"/>
    </w:rPr>
  </w:style>
  <w:style w:type="character" w:customStyle="1" w:styleId="Bodytext5">
    <w:name w:val="Body text (5)_"/>
    <w:link w:val="Bodytext51"/>
    <w:locked/>
    <w:rsid w:val="00C66969"/>
    <w:rPr>
      <w:sz w:val="15"/>
      <w:shd w:val="clear" w:color="auto" w:fill="FFFFFF"/>
    </w:rPr>
  </w:style>
  <w:style w:type="character" w:customStyle="1" w:styleId="Bodytext50">
    <w:name w:val="Body text (5)"/>
    <w:rsid w:val="00C66969"/>
    <w:rPr>
      <w:rFonts w:cs="Times New Roman"/>
      <w:sz w:val="15"/>
      <w:szCs w:val="15"/>
      <w:shd w:val="clear" w:color="auto" w:fill="FFFFFF"/>
    </w:rPr>
  </w:style>
  <w:style w:type="character" w:customStyle="1" w:styleId="Bodytext52">
    <w:name w:val="Body text (5)2"/>
    <w:rsid w:val="00C66969"/>
    <w:rPr>
      <w:rFonts w:cs="Times New Roman"/>
      <w:sz w:val="15"/>
      <w:szCs w:val="15"/>
      <w:shd w:val="clear" w:color="auto" w:fill="FFFFFF"/>
    </w:rPr>
  </w:style>
  <w:style w:type="paragraph" w:customStyle="1" w:styleId="Bodytext51">
    <w:name w:val="Body text (5)1"/>
    <w:basedOn w:val="Normal"/>
    <w:link w:val="Bodytext5"/>
    <w:rsid w:val="00C66969"/>
    <w:pPr>
      <w:shd w:val="clear" w:color="auto" w:fill="FFFFFF"/>
      <w:spacing w:line="158" w:lineRule="exact"/>
      <w:jc w:val="right"/>
    </w:pPr>
    <w:rPr>
      <w:sz w:val="15"/>
      <w:szCs w:val="20"/>
    </w:rPr>
  </w:style>
  <w:style w:type="character" w:customStyle="1" w:styleId="Tablecaption2">
    <w:name w:val="Table caption (2)_"/>
    <w:link w:val="Tablecaption21"/>
    <w:locked/>
    <w:rsid w:val="00C66969"/>
    <w:rPr>
      <w:sz w:val="17"/>
      <w:shd w:val="clear" w:color="auto" w:fill="FFFFFF"/>
    </w:rPr>
  </w:style>
  <w:style w:type="character" w:customStyle="1" w:styleId="Tablecaption20">
    <w:name w:val="Table caption (2)"/>
    <w:rsid w:val="00C66969"/>
    <w:rPr>
      <w:rFonts w:cs="Times New Roman"/>
      <w:sz w:val="17"/>
      <w:szCs w:val="17"/>
      <w:shd w:val="clear" w:color="auto" w:fill="FFFFFF"/>
    </w:rPr>
  </w:style>
  <w:style w:type="paragraph" w:customStyle="1" w:styleId="Tablecaption21">
    <w:name w:val="Table caption (2)1"/>
    <w:basedOn w:val="Normal"/>
    <w:link w:val="Tablecaption2"/>
    <w:rsid w:val="00C66969"/>
    <w:pPr>
      <w:shd w:val="clear" w:color="auto" w:fill="FFFFFF"/>
      <w:spacing w:line="240" w:lineRule="atLeast"/>
    </w:pPr>
    <w:rPr>
      <w:sz w:val="17"/>
      <w:szCs w:val="20"/>
    </w:rPr>
  </w:style>
  <w:style w:type="table" w:customStyle="1" w:styleId="MediumShading11">
    <w:name w:val="Medium Shading 11"/>
    <w:rsid w:val="002575C1"/>
    <w:rPr>
      <w:lang w:val="en-US"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MediumGrid31">
    <w:name w:val="Medium Grid 31"/>
    <w:rsid w:val="002575C1"/>
    <w:rPr>
      <w:lang w:val="en-US" w:eastAsia="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style>
  <w:style w:type="table" w:customStyle="1" w:styleId="LightShading-Accent21">
    <w:name w:val="Light Shading - Accent 21"/>
    <w:rsid w:val="002575C1"/>
    <w:rPr>
      <w:color w:val="943634"/>
      <w:lang w:val="en-US" w:eastAsia="en-US"/>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style>
  <w:style w:type="table" w:customStyle="1" w:styleId="MediumGrid1-Accent11">
    <w:name w:val="Medium Grid 1 - Accent 11"/>
    <w:rsid w:val="002575C1"/>
    <w:rPr>
      <w:lang w:val="en-US"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style>
  <w:style w:type="numbering" w:styleId="111111">
    <w:name w:val="Outline List 2"/>
    <w:basedOn w:val="NoList"/>
    <w:uiPriority w:val="99"/>
    <w:rsid w:val="0020282B"/>
    <w:pPr>
      <w:numPr>
        <w:numId w:val="6"/>
      </w:numPr>
    </w:pPr>
  </w:style>
  <w:style w:type="numbering" w:customStyle="1" w:styleId="proba">
    <w:name w:val="proba"/>
    <w:rsid w:val="0020282B"/>
    <w:pPr>
      <w:numPr>
        <w:numId w:val="10"/>
      </w:numPr>
    </w:pPr>
  </w:style>
  <w:style w:type="character" w:customStyle="1" w:styleId="apple-converted-space">
    <w:name w:val="apple-converted-space"/>
    <w:rsid w:val="00304336"/>
  </w:style>
  <w:style w:type="table" w:styleId="LightShading-Accent2">
    <w:name w:val="Light Shading Accent 2"/>
    <w:basedOn w:val="TableNormal"/>
    <w:uiPriority w:val="60"/>
    <w:rsid w:val="00B05E41"/>
    <w:rPr>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styleId="MediumGrid1-Accent1">
    <w:name w:val="Medium Grid 1 Accent 1"/>
    <w:basedOn w:val="TableNormal"/>
    <w:uiPriority w:val="67"/>
    <w:rsid w:val="00B05E4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rFonts w:cs="Times New Roman"/>
        <w:b/>
        <w:bCs/>
      </w:rPr>
    </w:tblStylePr>
    <w:tblStylePr w:type="lastRow">
      <w:rPr>
        <w:rFonts w:cs="Times New Roman"/>
        <w:b/>
        <w:bCs/>
      </w:rPr>
      <w:tblPr/>
      <w:tcPr>
        <w:tcBorders>
          <w:top w:val="single" w:sz="18" w:space="0" w:color="7BA0C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customStyle="1" w:styleId="MediumShading111">
    <w:name w:val="Medium Shading 111"/>
    <w:rsid w:val="00B05E41"/>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MediumGrid311">
    <w:name w:val="Medium Grid 311"/>
    <w:rsid w:val="00B05E41"/>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style>
  <w:style w:type="table" w:customStyle="1" w:styleId="LightShading-Accent212">
    <w:name w:val="Light Shading - Accent 212"/>
    <w:rsid w:val="00B05E41"/>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style>
  <w:style w:type="table" w:customStyle="1" w:styleId="MediumGrid1-Accent112">
    <w:name w:val="Medium Grid 1 - Accent 112"/>
    <w:rsid w:val="00B05E41"/>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style>
  <w:style w:type="character" w:customStyle="1" w:styleId="CharChar17">
    <w:name w:val="Char Char17"/>
    <w:locked/>
    <w:rsid w:val="00B05E41"/>
    <w:rPr>
      <w:rFonts w:ascii="Arial" w:hAnsi="Arial"/>
      <w:b/>
      <w:i/>
      <w:sz w:val="28"/>
      <w:lang w:val="en-US" w:eastAsia="en-US"/>
    </w:rPr>
  </w:style>
  <w:style w:type="paragraph" w:customStyle="1" w:styleId="Default">
    <w:name w:val="Default"/>
    <w:rsid w:val="00B05E41"/>
    <w:pPr>
      <w:autoSpaceDE w:val="0"/>
      <w:autoSpaceDN w:val="0"/>
      <w:adjustRightInd w:val="0"/>
    </w:pPr>
    <w:rPr>
      <w:rFonts w:ascii="Calibri" w:hAnsi="Calibri" w:cs="Calibri"/>
      <w:color w:val="000000"/>
      <w:sz w:val="24"/>
      <w:szCs w:val="24"/>
    </w:rPr>
  </w:style>
  <w:style w:type="paragraph" w:customStyle="1" w:styleId="000">
    <w:name w:val="000"/>
    <w:aliases w:val="standaard,standaard uitvullen"/>
    <w:basedOn w:val="Normal"/>
    <w:rsid w:val="004B5F69"/>
    <w:pPr>
      <w:overflowPunct w:val="0"/>
      <w:autoSpaceDE w:val="0"/>
      <w:autoSpaceDN w:val="0"/>
      <w:adjustRightInd w:val="0"/>
      <w:spacing w:line="280" w:lineRule="atLeast"/>
      <w:jc w:val="both"/>
      <w:textAlignment w:val="baseline"/>
    </w:pPr>
    <w:rPr>
      <w:szCs w:val="20"/>
      <w:lang w:val="en-GB"/>
    </w:rPr>
  </w:style>
  <w:style w:type="paragraph" w:customStyle="1" w:styleId="SingleSpacing">
    <w:name w:val="Single Spacing"/>
    <w:aliases w:val="ss,Single spacing"/>
    <w:basedOn w:val="Normal"/>
    <w:rsid w:val="004B5F69"/>
    <w:pPr>
      <w:overflowPunct w:val="0"/>
      <w:autoSpaceDE w:val="0"/>
      <w:autoSpaceDN w:val="0"/>
      <w:adjustRightInd w:val="0"/>
      <w:spacing w:line="280" w:lineRule="atLeast"/>
      <w:jc w:val="both"/>
      <w:textAlignment w:val="baseline"/>
    </w:pPr>
    <w:rPr>
      <w:rFonts w:ascii="Times" w:hAnsi="Times"/>
      <w:szCs w:val="20"/>
    </w:rPr>
  </w:style>
  <w:style w:type="paragraph" w:styleId="BodyText20">
    <w:name w:val="Body Text 2"/>
    <w:basedOn w:val="Normal"/>
    <w:link w:val="BodyText2Char"/>
    <w:locked/>
    <w:rsid w:val="004B5F69"/>
    <w:pPr>
      <w:spacing w:after="120" w:line="480" w:lineRule="auto"/>
    </w:pPr>
  </w:style>
  <w:style w:type="character" w:customStyle="1" w:styleId="BodyText2Char">
    <w:name w:val="Body Text 2 Char"/>
    <w:link w:val="BodyText20"/>
    <w:rsid w:val="004B5F69"/>
    <w:rPr>
      <w:sz w:val="24"/>
      <w:szCs w:val="24"/>
      <w:lang w:val="en-US" w:eastAsia="en-US"/>
    </w:rPr>
  </w:style>
  <w:style w:type="paragraph" w:customStyle="1" w:styleId="FRD3rdSubheadline">
    <w:name w:val="FRD 3rd Subheadline"/>
    <w:basedOn w:val="Normal"/>
    <w:rsid w:val="004B5F69"/>
    <w:pPr>
      <w:keepNext/>
      <w:keepLines/>
      <w:overflowPunct w:val="0"/>
      <w:autoSpaceDE w:val="0"/>
      <w:autoSpaceDN w:val="0"/>
      <w:adjustRightInd w:val="0"/>
      <w:spacing w:before="120" w:after="80" w:line="260" w:lineRule="exact"/>
      <w:textAlignment w:val="baseline"/>
    </w:pPr>
    <w:rPr>
      <w:rFonts w:ascii="EY Gothic Cond Medium" w:hAnsi="EY Gothic Cond Medium"/>
      <w:i/>
      <w:iCs/>
      <w:sz w:val="26"/>
      <w:szCs w:val="20"/>
    </w:rPr>
  </w:style>
  <w:style w:type="paragraph" w:customStyle="1" w:styleId="BodySingle">
    <w:name w:val="Body Single"/>
    <w:rsid w:val="004B5F69"/>
    <w:rPr>
      <w:color w:val="000000"/>
      <w:sz w:val="24"/>
      <w:lang w:val="en-US" w:eastAsia="en-US"/>
    </w:rPr>
  </w:style>
  <w:style w:type="paragraph" w:customStyle="1" w:styleId="FRDText">
    <w:name w:val="FRD Text"/>
    <w:basedOn w:val="Normal"/>
    <w:link w:val="FRDTextChar"/>
    <w:rsid w:val="004B5F69"/>
    <w:pPr>
      <w:overflowPunct w:val="0"/>
      <w:autoSpaceDE w:val="0"/>
      <w:autoSpaceDN w:val="0"/>
      <w:adjustRightInd w:val="0"/>
      <w:spacing w:after="120" w:line="280" w:lineRule="exact"/>
      <w:textAlignment w:val="baseline"/>
    </w:pPr>
    <w:rPr>
      <w:sz w:val="22"/>
      <w:szCs w:val="20"/>
    </w:rPr>
  </w:style>
  <w:style w:type="character" w:customStyle="1" w:styleId="FRDTextChar">
    <w:name w:val="FRD Text Char"/>
    <w:link w:val="FRDText"/>
    <w:rsid w:val="004B5F69"/>
    <w:rPr>
      <w:sz w:val="22"/>
      <w:lang w:val="en-US" w:eastAsia="en-US"/>
    </w:rPr>
  </w:style>
  <w:style w:type="paragraph" w:customStyle="1" w:styleId="CharCharCharCharCharCharChar">
    <w:name w:val="Char Char Char Char Char Char Char"/>
    <w:basedOn w:val="Normal"/>
    <w:rsid w:val="004B5F69"/>
    <w:pPr>
      <w:spacing w:after="160" w:line="240" w:lineRule="exact"/>
    </w:pPr>
    <w:rPr>
      <w:rFonts w:ascii="Symbol" w:eastAsia="Calibri" w:hAnsi="Symbol" w:cs="Calibri"/>
      <w:sz w:val="20"/>
      <w:szCs w:val="20"/>
    </w:rPr>
  </w:style>
  <w:style w:type="paragraph" w:styleId="BodyTextIndent2">
    <w:name w:val="Body Text Indent 2"/>
    <w:basedOn w:val="Normal"/>
    <w:link w:val="BodyTextIndent2Char"/>
    <w:locked/>
    <w:rsid w:val="004B5F69"/>
    <w:pPr>
      <w:spacing w:after="120" w:line="480" w:lineRule="auto"/>
      <w:ind w:left="283"/>
    </w:pPr>
    <w:rPr>
      <w:lang w:val="hr-HR"/>
    </w:rPr>
  </w:style>
  <w:style w:type="character" w:customStyle="1" w:styleId="BodyTextIndent2Char">
    <w:name w:val="Body Text Indent 2 Char"/>
    <w:link w:val="BodyTextIndent2"/>
    <w:rsid w:val="004B5F69"/>
    <w:rPr>
      <w:sz w:val="24"/>
      <w:szCs w:val="24"/>
      <w:lang w:val="hr-HR" w:eastAsia="en-US"/>
    </w:rPr>
  </w:style>
  <w:style w:type="paragraph" w:styleId="BodyTextIndent3">
    <w:name w:val="Body Text Indent 3"/>
    <w:basedOn w:val="Normal"/>
    <w:link w:val="BodyTextIndent3Char"/>
    <w:locked/>
    <w:rsid w:val="004B5F69"/>
    <w:pPr>
      <w:spacing w:after="120"/>
      <w:ind w:left="283"/>
    </w:pPr>
    <w:rPr>
      <w:sz w:val="16"/>
      <w:szCs w:val="16"/>
    </w:rPr>
  </w:style>
  <w:style w:type="character" w:customStyle="1" w:styleId="BodyTextIndent3Char">
    <w:name w:val="Body Text Indent 3 Char"/>
    <w:link w:val="BodyTextIndent3"/>
    <w:rsid w:val="004B5F69"/>
    <w:rPr>
      <w:sz w:val="16"/>
      <w:szCs w:val="16"/>
      <w:lang w:val="en-US" w:eastAsia="en-US"/>
    </w:rPr>
  </w:style>
  <w:style w:type="paragraph" w:customStyle="1" w:styleId="AlignWithoutBrackets">
    <w:name w:val="AlignWithoutBrackets"/>
    <w:basedOn w:val="Normal"/>
    <w:rsid w:val="004B5F69"/>
    <w:pPr>
      <w:widowControl w:val="0"/>
      <w:tabs>
        <w:tab w:val="left" w:pos="-1440"/>
        <w:tab w:val="left" w:pos="-720"/>
      </w:tabs>
      <w:suppressAutoHyphens/>
      <w:ind w:left="153" w:hanging="153"/>
      <w:jc w:val="right"/>
    </w:pPr>
    <w:rPr>
      <w:spacing w:val="-2"/>
      <w:sz w:val="18"/>
      <w:szCs w:val="20"/>
      <w:lang w:val="en-GB"/>
    </w:rPr>
  </w:style>
  <w:style w:type="paragraph" w:customStyle="1" w:styleId="Double">
    <w:name w:val="Double"/>
    <w:basedOn w:val="Normal"/>
    <w:rsid w:val="004B5F69"/>
    <w:pPr>
      <w:widowControl w:val="0"/>
      <w:tabs>
        <w:tab w:val="left" w:pos="-1440"/>
        <w:tab w:val="left" w:pos="-720"/>
      </w:tabs>
      <w:suppressAutoHyphens/>
      <w:spacing w:after="130"/>
      <w:jc w:val="right"/>
    </w:pPr>
    <w:rPr>
      <w:rFonts w:ascii="HR Times New Roman EE/ISO 8859" w:hAnsi="HR Times New Roman EE/ISO 8859"/>
      <w:b/>
      <w:spacing w:val="-2"/>
      <w:position w:val="6"/>
      <w:sz w:val="18"/>
      <w:szCs w:val="20"/>
      <w:u w:val="double"/>
      <w:lang w:val="en-GB"/>
    </w:rPr>
  </w:style>
  <w:style w:type="paragraph" w:customStyle="1" w:styleId="AlignBrackets">
    <w:name w:val="AlignBrackets"/>
    <w:basedOn w:val="Normal"/>
    <w:rsid w:val="004B5F69"/>
    <w:pPr>
      <w:widowControl w:val="0"/>
      <w:tabs>
        <w:tab w:val="left" w:pos="-1440"/>
        <w:tab w:val="left" w:pos="-720"/>
      </w:tabs>
      <w:suppressAutoHyphens/>
      <w:ind w:left="153" w:right="-57" w:hanging="153"/>
      <w:jc w:val="right"/>
    </w:pPr>
    <w:rPr>
      <w:spacing w:val="-2"/>
      <w:sz w:val="18"/>
      <w:szCs w:val="20"/>
      <w:lang w:val="en-GB"/>
    </w:rPr>
  </w:style>
  <w:style w:type="numbering" w:customStyle="1" w:styleId="NoList1">
    <w:name w:val="No List1"/>
    <w:next w:val="NoList"/>
    <w:uiPriority w:val="99"/>
    <w:semiHidden/>
    <w:unhideWhenUsed/>
    <w:rsid w:val="004B5F69"/>
  </w:style>
  <w:style w:type="numbering" w:customStyle="1" w:styleId="NoList2">
    <w:name w:val="No List2"/>
    <w:next w:val="NoList"/>
    <w:uiPriority w:val="99"/>
    <w:semiHidden/>
    <w:unhideWhenUsed/>
    <w:rsid w:val="004B5F69"/>
  </w:style>
  <w:style w:type="character" w:customStyle="1" w:styleId="Heading20">
    <w:name w:val="Heading #2_"/>
    <w:link w:val="Heading21"/>
    <w:locked/>
    <w:rsid w:val="002B4BF6"/>
    <w:rPr>
      <w:rFonts w:ascii="Arial" w:hAnsi="Arial" w:cs="Arial"/>
      <w:b/>
      <w:bCs/>
      <w:spacing w:val="1"/>
      <w:sz w:val="21"/>
      <w:szCs w:val="21"/>
      <w:shd w:val="clear" w:color="auto" w:fill="FFFFFF"/>
    </w:rPr>
  </w:style>
  <w:style w:type="paragraph" w:customStyle="1" w:styleId="Heading21">
    <w:name w:val="Heading #2"/>
    <w:basedOn w:val="Normal"/>
    <w:link w:val="Heading20"/>
    <w:rsid w:val="002B4BF6"/>
    <w:pPr>
      <w:shd w:val="clear" w:color="auto" w:fill="FFFFFF"/>
      <w:spacing w:before="180" w:line="274" w:lineRule="exact"/>
      <w:jc w:val="center"/>
      <w:outlineLvl w:val="1"/>
    </w:pPr>
    <w:rPr>
      <w:rFonts w:ascii="Arial" w:hAnsi="Arial" w:cs="Arial"/>
      <w:b/>
      <w:bCs/>
      <w:spacing w:val="1"/>
      <w:sz w:val="21"/>
      <w:szCs w:val="21"/>
    </w:rPr>
  </w:style>
  <w:style w:type="table" w:customStyle="1" w:styleId="LightShading-Accent211">
    <w:name w:val="Light Shading - Accent 211"/>
    <w:rsid w:val="00B916BF"/>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style>
  <w:style w:type="table" w:customStyle="1" w:styleId="MediumGrid1-Accent111">
    <w:name w:val="Medium Grid 1 - Accent 111"/>
    <w:rsid w:val="00B916BF"/>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style>
  <w:style w:type="table" w:customStyle="1" w:styleId="LightShading-Accent22">
    <w:name w:val="Light Shading - Accent 22"/>
    <w:rsid w:val="00B916BF"/>
    <w:rPr>
      <w:color w:val="943634"/>
      <w:lang w:val="hr-HR" w:eastAsia="hr-HR"/>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style>
  <w:style w:type="table" w:customStyle="1" w:styleId="MediumGrid1-Accent12">
    <w:name w:val="Medium Grid 1 - Accent 12"/>
    <w:rsid w:val="00B916BF"/>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style>
  <w:style w:type="paragraph" w:customStyle="1" w:styleId="Bodytext10">
    <w:name w:val="Body text1"/>
    <w:basedOn w:val="Normal"/>
    <w:rsid w:val="00143259"/>
    <w:pPr>
      <w:shd w:val="clear" w:color="auto" w:fill="FFFFFF"/>
      <w:spacing w:after="180" w:line="274" w:lineRule="exact"/>
      <w:ind w:hanging="520"/>
      <w:jc w:val="both"/>
    </w:pPr>
    <w:rPr>
      <w:rFonts w:ascii="Arial" w:hAnsi="Arial" w:cs="Arial"/>
      <w:spacing w:val="1"/>
      <w:sz w:val="21"/>
      <w:szCs w:val="21"/>
      <w:lang w:val="bs-Latn-BA" w:eastAsia="bs-Latn-BA"/>
    </w:rPr>
  </w:style>
  <w:style w:type="paragraph" w:customStyle="1" w:styleId="rtejustify">
    <w:name w:val="rtejustify"/>
    <w:basedOn w:val="Normal"/>
    <w:rsid w:val="007C6174"/>
    <w:pPr>
      <w:spacing w:before="100" w:beforeAutospacing="1" w:after="100" w:afterAutospacing="1"/>
    </w:pPr>
    <w:rPr>
      <w:lang w:val="bs-Latn-BA" w:eastAsia="bs-Latn-BA"/>
    </w:rPr>
  </w:style>
  <w:style w:type="character" w:styleId="Emphasis">
    <w:name w:val="Emphasis"/>
    <w:uiPriority w:val="20"/>
    <w:qFormat/>
    <w:locked/>
    <w:rsid w:val="00894C93"/>
    <w:rPr>
      <w:i/>
      <w:iCs/>
    </w:rPr>
  </w:style>
  <w:style w:type="table" w:styleId="MediumShading2-Accent2">
    <w:name w:val="Medium Shading 2 Accent 2"/>
    <w:basedOn w:val="TableNormal"/>
    <w:uiPriority w:val="64"/>
    <w:rsid w:val="0071421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Grid1-Accent2">
    <w:name w:val="Medium Grid 1 Accent 2"/>
    <w:basedOn w:val="TableNormal"/>
    <w:uiPriority w:val="67"/>
    <w:rsid w:val="00714219"/>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List2-Accent5">
    <w:name w:val="Medium List 2 Accent 5"/>
    <w:basedOn w:val="TableNormal"/>
    <w:uiPriority w:val="66"/>
    <w:rsid w:val="00714219"/>
    <w:rPr>
      <w:rFonts w:asciiTheme="majorHAnsi" w:eastAsiaTheme="majorEastAsia" w:hAnsiTheme="majorHAnsi" w:cstheme="majorBid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ColorfulGrid-Accent2">
    <w:name w:val="Colorful Grid Accent 2"/>
    <w:basedOn w:val="TableNormal"/>
    <w:uiPriority w:val="73"/>
    <w:rsid w:val="00714219"/>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List">
    <w:name w:val="Colorful List"/>
    <w:basedOn w:val="TableNormal"/>
    <w:uiPriority w:val="72"/>
    <w:rsid w:val="00714219"/>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MediumShading1-Accent1">
    <w:name w:val="Medium Shading 1 Accent 1"/>
    <w:basedOn w:val="TableNormal"/>
    <w:uiPriority w:val="63"/>
    <w:rsid w:val="008678E0"/>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LightShading-Accent6">
    <w:name w:val="Light Shading Accent 6"/>
    <w:basedOn w:val="TableNormal"/>
    <w:uiPriority w:val="60"/>
    <w:rsid w:val="008678E0"/>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LightList-Accent4">
    <w:name w:val="Light List Accent 4"/>
    <w:basedOn w:val="TableNormal"/>
    <w:uiPriority w:val="61"/>
    <w:rsid w:val="008678E0"/>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2">
    <w:name w:val="Light List Accent 2"/>
    <w:basedOn w:val="TableNormal"/>
    <w:uiPriority w:val="61"/>
    <w:rsid w:val="008678E0"/>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rsid w:val="008678E0"/>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TableGrid1">
    <w:name w:val="Table Grid1"/>
    <w:basedOn w:val="TableNormal"/>
    <w:next w:val="TableGrid"/>
    <w:rsid w:val="00FD3E9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3-Accent6">
    <w:name w:val="Medium Grid 3 Accent 6"/>
    <w:basedOn w:val="TableNormal"/>
    <w:uiPriority w:val="69"/>
    <w:rsid w:val="00BD67C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Grid3-Accent5">
    <w:name w:val="Medium Grid 3 Accent 5"/>
    <w:basedOn w:val="TableNormal"/>
    <w:uiPriority w:val="69"/>
    <w:rsid w:val="00BD67C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ColorfulList-Accent3">
    <w:name w:val="Colorful List Accent 3"/>
    <w:basedOn w:val="TableNormal"/>
    <w:uiPriority w:val="72"/>
    <w:rsid w:val="00D73BF7"/>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LightGrid-Accent6">
    <w:name w:val="Light Grid Accent 6"/>
    <w:basedOn w:val="TableNormal"/>
    <w:uiPriority w:val="62"/>
    <w:rsid w:val="00D73BF7"/>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MediumGrid1-Accent4">
    <w:name w:val="Medium Grid 1 Accent 4"/>
    <w:basedOn w:val="TableNormal"/>
    <w:uiPriority w:val="67"/>
    <w:rsid w:val="00297F17"/>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rsid w:val="00297F17"/>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TableGrid2">
    <w:name w:val="Table Grid2"/>
    <w:basedOn w:val="TableNormal"/>
    <w:next w:val="TableGrid"/>
    <w:uiPriority w:val="39"/>
    <w:rsid w:val="00AC1EAF"/>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5F5333"/>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590F46"/>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51">
    <w:name w:val="Grid Table 5 Dark - Accent 51"/>
    <w:basedOn w:val="TableNormal"/>
    <w:uiPriority w:val="50"/>
    <w:rsid w:val="00BF023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PlainTable11">
    <w:name w:val="Plain Table 11"/>
    <w:basedOn w:val="TableNormal"/>
    <w:uiPriority w:val="41"/>
    <w:rsid w:val="00BF023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1111111">
    <w:name w:val="1 / 1.1 / 1.1.11"/>
    <w:basedOn w:val="NoList"/>
    <w:next w:val="111111"/>
    <w:uiPriority w:val="99"/>
    <w:rsid w:val="001B70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2248976">
      <w:bodyDiv w:val="1"/>
      <w:marLeft w:val="0"/>
      <w:marRight w:val="0"/>
      <w:marTop w:val="0"/>
      <w:marBottom w:val="0"/>
      <w:divBdr>
        <w:top w:val="none" w:sz="0" w:space="0" w:color="auto"/>
        <w:left w:val="none" w:sz="0" w:space="0" w:color="auto"/>
        <w:bottom w:val="none" w:sz="0" w:space="0" w:color="auto"/>
        <w:right w:val="none" w:sz="0" w:space="0" w:color="auto"/>
      </w:divBdr>
    </w:div>
    <w:div w:id="33583681">
      <w:bodyDiv w:val="1"/>
      <w:marLeft w:val="0"/>
      <w:marRight w:val="0"/>
      <w:marTop w:val="0"/>
      <w:marBottom w:val="0"/>
      <w:divBdr>
        <w:top w:val="none" w:sz="0" w:space="0" w:color="auto"/>
        <w:left w:val="none" w:sz="0" w:space="0" w:color="auto"/>
        <w:bottom w:val="none" w:sz="0" w:space="0" w:color="auto"/>
        <w:right w:val="none" w:sz="0" w:space="0" w:color="auto"/>
      </w:divBdr>
    </w:div>
    <w:div w:id="34353703">
      <w:bodyDiv w:val="1"/>
      <w:marLeft w:val="0"/>
      <w:marRight w:val="0"/>
      <w:marTop w:val="0"/>
      <w:marBottom w:val="0"/>
      <w:divBdr>
        <w:top w:val="none" w:sz="0" w:space="0" w:color="auto"/>
        <w:left w:val="none" w:sz="0" w:space="0" w:color="auto"/>
        <w:bottom w:val="none" w:sz="0" w:space="0" w:color="auto"/>
        <w:right w:val="none" w:sz="0" w:space="0" w:color="auto"/>
      </w:divBdr>
    </w:div>
    <w:div w:id="38407034">
      <w:bodyDiv w:val="1"/>
      <w:marLeft w:val="0"/>
      <w:marRight w:val="0"/>
      <w:marTop w:val="0"/>
      <w:marBottom w:val="0"/>
      <w:divBdr>
        <w:top w:val="none" w:sz="0" w:space="0" w:color="auto"/>
        <w:left w:val="none" w:sz="0" w:space="0" w:color="auto"/>
        <w:bottom w:val="none" w:sz="0" w:space="0" w:color="auto"/>
        <w:right w:val="none" w:sz="0" w:space="0" w:color="auto"/>
      </w:divBdr>
    </w:div>
    <w:div w:id="40596170">
      <w:bodyDiv w:val="1"/>
      <w:marLeft w:val="0"/>
      <w:marRight w:val="0"/>
      <w:marTop w:val="0"/>
      <w:marBottom w:val="0"/>
      <w:divBdr>
        <w:top w:val="none" w:sz="0" w:space="0" w:color="auto"/>
        <w:left w:val="none" w:sz="0" w:space="0" w:color="auto"/>
        <w:bottom w:val="none" w:sz="0" w:space="0" w:color="auto"/>
        <w:right w:val="none" w:sz="0" w:space="0" w:color="auto"/>
      </w:divBdr>
    </w:div>
    <w:div w:id="44377172">
      <w:bodyDiv w:val="1"/>
      <w:marLeft w:val="0"/>
      <w:marRight w:val="0"/>
      <w:marTop w:val="0"/>
      <w:marBottom w:val="0"/>
      <w:divBdr>
        <w:top w:val="none" w:sz="0" w:space="0" w:color="auto"/>
        <w:left w:val="none" w:sz="0" w:space="0" w:color="auto"/>
        <w:bottom w:val="none" w:sz="0" w:space="0" w:color="auto"/>
        <w:right w:val="none" w:sz="0" w:space="0" w:color="auto"/>
      </w:divBdr>
    </w:div>
    <w:div w:id="57558317">
      <w:bodyDiv w:val="1"/>
      <w:marLeft w:val="0"/>
      <w:marRight w:val="0"/>
      <w:marTop w:val="0"/>
      <w:marBottom w:val="0"/>
      <w:divBdr>
        <w:top w:val="none" w:sz="0" w:space="0" w:color="auto"/>
        <w:left w:val="none" w:sz="0" w:space="0" w:color="auto"/>
        <w:bottom w:val="none" w:sz="0" w:space="0" w:color="auto"/>
        <w:right w:val="none" w:sz="0" w:space="0" w:color="auto"/>
      </w:divBdr>
    </w:div>
    <w:div w:id="65153790">
      <w:bodyDiv w:val="1"/>
      <w:marLeft w:val="0"/>
      <w:marRight w:val="0"/>
      <w:marTop w:val="0"/>
      <w:marBottom w:val="0"/>
      <w:divBdr>
        <w:top w:val="none" w:sz="0" w:space="0" w:color="auto"/>
        <w:left w:val="none" w:sz="0" w:space="0" w:color="auto"/>
        <w:bottom w:val="none" w:sz="0" w:space="0" w:color="auto"/>
        <w:right w:val="none" w:sz="0" w:space="0" w:color="auto"/>
      </w:divBdr>
    </w:div>
    <w:div w:id="83457303">
      <w:bodyDiv w:val="1"/>
      <w:marLeft w:val="0"/>
      <w:marRight w:val="0"/>
      <w:marTop w:val="0"/>
      <w:marBottom w:val="0"/>
      <w:divBdr>
        <w:top w:val="none" w:sz="0" w:space="0" w:color="auto"/>
        <w:left w:val="none" w:sz="0" w:space="0" w:color="auto"/>
        <w:bottom w:val="none" w:sz="0" w:space="0" w:color="auto"/>
        <w:right w:val="none" w:sz="0" w:space="0" w:color="auto"/>
      </w:divBdr>
    </w:div>
    <w:div w:id="89398315">
      <w:bodyDiv w:val="1"/>
      <w:marLeft w:val="0"/>
      <w:marRight w:val="0"/>
      <w:marTop w:val="0"/>
      <w:marBottom w:val="0"/>
      <w:divBdr>
        <w:top w:val="none" w:sz="0" w:space="0" w:color="auto"/>
        <w:left w:val="none" w:sz="0" w:space="0" w:color="auto"/>
        <w:bottom w:val="none" w:sz="0" w:space="0" w:color="auto"/>
        <w:right w:val="none" w:sz="0" w:space="0" w:color="auto"/>
      </w:divBdr>
    </w:div>
    <w:div w:id="90929569">
      <w:bodyDiv w:val="1"/>
      <w:marLeft w:val="0"/>
      <w:marRight w:val="0"/>
      <w:marTop w:val="0"/>
      <w:marBottom w:val="0"/>
      <w:divBdr>
        <w:top w:val="none" w:sz="0" w:space="0" w:color="auto"/>
        <w:left w:val="none" w:sz="0" w:space="0" w:color="auto"/>
        <w:bottom w:val="none" w:sz="0" w:space="0" w:color="auto"/>
        <w:right w:val="none" w:sz="0" w:space="0" w:color="auto"/>
      </w:divBdr>
    </w:div>
    <w:div w:id="100497866">
      <w:bodyDiv w:val="1"/>
      <w:marLeft w:val="0"/>
      <w:marRight w:val="0"/>
      <w:marTop w:val="0"/>
      <w:marBottom w:val="0"/>
      <w:divBdr>
        <w:top w:val="none" w:sz="0" w:space="0" w:color="auto"/>
        <w:left w:val="none" w:sz="0" w:space="0" w:color="auto"/>
        <w:bottom w:val="none" w:sz="0" w:space="0" w:color="auto"/>
        <w:right w:val="none" w:sz="0" w:space="0" w:color="auto"/>
      </w:divBdr>
    </w:div>
    <w:div w:id="104815431">
      <w:bodyDiv w:val="1"/>
      <w:marLeft w:val="0"/>
      <w:marRight w:val="0"/>
      <w:marTop w:val="0"/>
      <w:marBottom w:val="0"/>
      <w:divBdr>
        <w:top w:val="none" w:sz="0" w:space="0" w:color="auto"/>
        <w:left w:val="none" w:sz="0" w:space="0" w:color="auto"/>
        <w:bottom w:val="none" w:sz="0" w:space="0" w:color="auto"/>
        <w:right w:val="none" w:sz="0" w:space="0" w:color="auto"/>
      </w:divBdr>
    </w:div>
    <w:div w:id="137888787">
      <w:bodyDiv w:val="1"/>
      <w:marLeft w:val="0"/>
      <w:marRight w:val="0"/>
      <w:marTop w:val="0"/>
      <w:marBottom w:val="0"/>
      <w:divBdr>
        <w:top w:val="none" w:sz="0" w:space="0" w:color="auto"/>
        <w:left w:val="none" w:sz="0" w:space="0" w:color="auto"/>
        <w:bottom w:val="none" w:sz="0" w:space="0" w:color="auto"/>
        <w:right w:val="none" w:sz="0" w:space="0" w:color="auto"/>
      </w:divBdr>
    </w:div>
    <w:div w:id="140000595">
      <w:bodyDiv w:val="1"/>
      <w:marLeft w:val="0"/>
      <w:marRight w:val="0"/>
      <w:marTop w:val="0"/>
      <w:marBottom w:val="0"/>
      <w:divBdr>
        <w:top w:val="none" w:sz="0" w:space="0" w:color="auto"/>
        <w:left w:val="none" w:sz="0" w:space="0" w:color="auto"/>
        <w:bottom w:val="none" w:sz="0" w:space="0" w:color="auto"/>
        <w:right w:val="none" w:sz="0" w:space="0" w:color="auto"/>
      </w:divBdr>
    </w:div>
    <w:div w:id="155458424">
      <w:bodyDiv w:val="1"/>
      <w:marLeft w:val="0"/>
      <w:marRight w:val="0"/>
      <w:marTop w:val="0"/>
      <w:marBottom w:val="0"/>
      <w:divBdr>
        <w:top w:val="none" w:sz="0" w:space="0" w:color="auto"/>
        <w:left w:val="none" w:sz="0" w:space="0" w:color="auto"/>
        <w:bottom w:val="none" w:sz="0" w:space="0" w:color="auto"/>
        <w:right w:val="none" w:sz="0" w:space="0" w:color="auto"/>
      </w:divBdr>
    </w:div>
    <w:div w:id="165436326">
      <w:bodyDiv w:val="1"/>
      <w:marLeft w:val="0"/>
      <w:marRight w:val="0"/>
      <w:marTop w:val="0"/>
      <w:marBottom w:val="0"/>
      <w:divBdr>
        <w:top w:val="none" w:sz="0" w:space="0" w:color="auto"/>
        <w:left w:val="none" w:sz="0" w:space="0" w:color="auto"/>
        <w:bottom w:val="none" w:sz="0" w:space="0" w:color="auto"/>
        <w:right w:val="none" w:sz="0" w:space="0" w:color="auto"/>
      </w:divBdr>
    </w:div>
    <w:div w:id="169103883">
      <w:bodyDiv w:val="1"/>
      <w:marLeft w:val="0"/>
      <w:marRight w:val="0"/>
      <w:marTop w:val="0"/>
      <w:marBottom w:val="0"/>
      <w:divBdr>
        <w:top w:val="none" w:sz="0" w:space="0" w:color="auto"/>
        <w:left w:val="none" w:sz="0" w:space="0" w:color="auto"/>
        <w:bottom w:val="none" w:sz="0" w:space="0" w:color="auto"/>
        <w:right w:val="none" w:sz="0" w:space="0" w:color="auto"/>
      </w:divBdr>
    </w:div>
    <w:div w:id="178087996">
      <w:bodyDiv w:val="1"/>
      <w:marLeft w:val="0"/>
      <w:marRight w:val="0"/>
      <w:marTop w:val="0"/>
      <w:marBottom w:val="0"/>
      <w:divBdr>
        <w:top w:val="none" w:sz="0" w:space="0" w:color="auto"/>
        <w:left w:val="none" w:sz="0" w:space="0" w:color="auto"/>
        <w:bottom w:val="none" w:sz="0" w:space="0" w:color="auto"/>
        <w:right w:val="none" w:sz="0" w:space="0" w:color="auto"/>
      </w:divBdr>
    </w:div>
    <w:div w:id="195968017">
      <w:bodyDiv w:val="1"/>
      <w:marLeft w:val="0"/>
      <w:marRight w:val="0"/>
      <w:marTop w:val="0"/>
      <w:marBottom w:val="0"/>
      <w:divBdr>
        <w:top w:val="none" w:sz="0" w:space="0" w:color="auto"/>
        <w:left w:val="none" w:sz="0" w:space="0" w:color="auto"/>
        <w:bottom w:val="none" w:sz="0" w:space="0" w:color="auto"/>
        <w:right w:val="none" w:sz="0" w:space="0" w:color="auto"/>
      </w:divBdr>
    </w:div>
    <w:div w:id="215820067">
      <w:bodyDiv w:val="1"/>
      <w:marLeft w:val="0"/>
      <w:marRight w:val="0"/>
      <w:marTop w:val="0"/>
      <w:marBottom w:val="0"/>
      <w:divBdr>
        <w:top w:val="none" w:sz="0" w:space="0" w:color="auto"/>
        <w:left w:val="none" w:sz="0" w:space="0" w:color="auto"/>
        <w:bottom w:val="none" w:sz="0" w:space="0" w:color="auto"/>
        <w:right w:val="none" w:sz="0" w:space="0" w:color="auto"/>
      </w:divBdr>
    </w:div>
    <w:div w:id="229849359">
      <w:bodyDiv w:val="1"/>
      <w:marLeft w:val="0"/>
      <w:marRight w:val="0"/>
      <w:marTop w:val="0"/>
      <w:marBottom w:val="0"/>
      <w:divBdr>
        <w:top w:val="none" w:sz="0" w:space="0" w:color="auto"/>
        <w:left w:val="none" w:sz="0" w:space="0" w:color="auto"/>
        <w:bottom w:val="none" w:sz="0" w:space="0" w:color="auto"/>
        <w:right w:val="none" w:sz="0" w:space="0" w:color="auto"/>
      </w:divBdr>
    </w:div>
    <w:div w:id="235825953">
      <w:bodyDiv w:val="1"/>
      <w:marLeft w:val="0"/>
      <w:marRight w:val="0"/>
      <w:marTop w:val="0"/>
      <w:marBottom w:val="0"/>
      <w:divBdr>
        <w:top w:val="none" w:sz="0" w:space="0" w:color="auto"/>
        <w:left w:val="none" w:sz="0" w:space="0" w:color="auto"/>
        <w:bottom w:val="none" w:sz="0" w:space="0" w:color="auto"/>
        <w:right w:val="none" w:sz="0" w:space="0" w:color="auto"/>
      </w:divBdr>
    </w:div>
    <w:div w:id="241986481">
      <w:bodyDiv w:val="1"/>
      <w:marLeft w:val="0"/>
      <w:marRight w:val="0"/>
      <w:marTop w:val="0"/>
      <w:marBottom w:val="0"/>
      <w:divBdr>
        <w:top w:val="none" w:sz="0" w:space="0" w:color="auto"/>
        <w:left w:val="none" w:sz="0" w:space="0" w:color="auto"/>
        <w:bottom w:val="none" w:sz="0" w:space="0" w:color="auto"/>
        <w:right w:val="none" w:sz="0" w:space="0" w:color="auto"/>
      </w:divBdr>
    </w:div>
    <w:div w:id="247812771">
      <w:bodyDiv w:val="1"/>
      <w:marLeft w:val="0"/>
      <w:marRight w:val="0"/>
      <w:marTop w:val="0"/>
      <w:marBottom w:val="0"/>
      <w:divBdr>
        <w:top w:val="none" w:sz="0" w:space="0" w:color="auto"/>
        <w:left w:val="none" w:sz="0" w:space="0" w:color="auto"/>
        <w:bottom w:val="none" w:sz="0" w:space="0" w:color="auto"/>
        <w:right w:val="none" w:sz="0" w:space="0" w:color="auto"/>
      </w:divBdr>
    </w:div>
    <w:div w:id="259067738">
      <w:bodyDiv w:val="1"/>
      <w:marLeft w:val="0"/>
      <w:marRight w:val="0"/>
      <w:marTop w:val="0"/>
      <w:marBottom w:val="0"/>
      <w:divBdr>
        <w:top w:val="none" w:sz="0" w:space="0" w:color="auto"/>
        <w:left w:val="none" w:sz="0" w:space="0" w:color="auto"/>
        <w:bottom w:val="none" w:sz="0" w:space="0" w:color="auto"/>
        <w:right w:val="none" w:sz="0" w:space="0" w:color="auto"/>
      </w:divBdr>
    </w:div>
    <w:div w:id="267465502">
      <w:bodyDiv w:val="1"/>
      <w:marLeft w:val="0"/>
      <w:marRight w:val="0"/>
      <w:marTop w:val="0"/>
      <w:marBottom w:val="0"/>
      <w:divBdr>
        <w:top w:val="none" w:sz="0" w:space="0" w:color="auto"/>
        <w:left w:val="none" w:sz="0" w:space="0" w:color="auto"/>
        <w:bottom w:val="none" w:sz="0" w:space="0" w:color="auto"/>
        <w:right w:val="none" w:sz="0" w:space="0" w:color="auto"/>
      </w:divBdr>
    </w:div>
    <w:div w:id="292758022">
      <w:bodyDiv w:val="1"/>
      <w:marLeft w:val="0"/>
      <w:marRight w:val="0"/>
      <w:marTop w:val="0"/>
      <w:marBottom w:val="0"/>
      <w:divBdr>
        <w:top w:val="none" w:sz="0" w:space="0" w:color="auto"/>
        <w:left w:val="none" w:sz="0" w:space="0" w:color="auto"/>
        <w:bottom w:val="none" w:sz="0" w:space="0" w:color="auto"/>
        <w:right w:val="none" w:sz="0" w:space="0" w:color="auto"/>
      </w:divBdr>
    </w:div>
    <w:div w:id="293023765">
      <w:bodyDiv w:val="1"/>
      <w:marLeft w:val="0"/>
      <w:marRight w:val="0"/>
      <w:marTop w:val="0"/>
      <w:marBottom w:val="0"/>
      <w:divBdr>
        <w:top w:val="none" w:sz="0" w:space="0" w:color="auto"/>
        <w:left w:val="none" w:sz="0" w:space="0" w:color="auto"/>
        <w:bottom w:val="none" w:sz="0" w:space="0" w:color="auto"/>
        <w:right w:val="none" w:sz="0" w:space="0" w:color="auto"/>
      </w:divBdr>
    </w:div>
    <w:div w:id="294603812">
      <w:bodyDiv w:val="1"/>
      <w:marLeft w:val="0"/>
      <w:marRight w:val="0"/>
      <w:marTop w:val="0"/>
      <w:marBottom w:val="0"/>
      <w:divBdr>
        <w:top w:val="none" w:sz="0" w:space="0" w:color="auto"/>
        <w:left w:val="none" w:sz="0" w:space="0" w:color="auto"/>
        <w:bottom w:val="none" w:sz="0" w:space="0" w:color="auto"/>
        <w:right w:val="none" w:sz="0" w:space="0" w:color="auto"/>
      </w:divBdr>
    </w:div>
    <w:div w:id="300769674">
      <w:bodyDiv w:val="1"/>
      <w:marLeft w:val="0"/>
      <w:marRight w:val="0"/>
      <w:marTop w:val="0"/>
      <w:marBottom w:val="0"/>
      <w:divBdr>
        <w:top w:val="none" w:sz="0" w:space="0" w:color="auto"/>
        <w:left w:val="none" w:sz="0" w:space="0" w:color="auto"/>
        <w:bottom w:val="none" w:sz="0" w:space="0" w:color="auto"/>
        <w:right w:val="none" w:sz="0" w:space="0" w:color="auto"/>
      </w:divBdr>
    </w:div>
    <w:div w:id="322319423">
      <w:bodyDiv w:val="1"/>
      <w:marLeft w:val="0"/>
      <w:marRight w:val="0"/>
      <w:marTop w:val="0"/>
      <w:marBottom w:val="0"/>
      <w:divBdr>
        <w:top w:val="none" w:sz="0" w:space="0" w:color="auto"/>
        <w:left w:val="none" w:sz="0" w:space="0" w:color="auto"/>
        <w:bottom w:val="none" w:sz="0" w:space="0" w:color="auto"/>
        <w:right w:val="none" w:sz="0" w:space="0" w:color="auto"/>
      </w:divBdr>
    </w:div>
    <w:div w:id="334966959">
      <w:bodyDiv w:val="1"/>
      <w:marLeft w:val="0"/>
      <w:marRight w:val="0"/>
      <w:marTop w:val="0"/>
      <w:marBottom w:val="0"/>
      <w:divBdr>
        <w:top w:val="none" w:sz="0" w:space="0" w:color="auto"/>
        <w:left w:val="none" w:sz="0" w:space="0" w:color="auto"/>
        <w:bottom w:val="none" w:sz="0" w:space="0" w:color="auto"/>
        <w:right w:val="none" w:sz="0" w:space="0" w:color="auto"/>
      </w:divBdr>
    </w:div>
    <w:div w:id="336887749">
      <w:bodyDiv w:val="1"/>
      <w:marLeft w:val="0"/>
      <w:marRight w:val="0"/>
      <w:marTop w:val="0"/>
      <w:marBottom w:val="0"/>
      <w:divBdr>
        <w:top w:val="none" w:sz="0" w:space="0" w:color="auto"/>
        <w:left w:val="none" w:sz="0" w:space="0" w:color="auto"/>
        <w:bottom w:val="none" w:sz="0" w:space="0" w:color="auto"/>
        <w:right w:val="none" w:sz="0" w:space="0" w:color="auto"/>
      </w:divBdr>
    </w:div>
    <w:div w:id="344408652">
      <w:bodyDiv w:val="1"/>
      <w:marLeft w:val="0"/>
      <w:marRight w:val="0"/>
      <w:marTop w:val="0"/>
      <w:marBottom w:val="0"/>
      <w:divBdr>
        <w:top w:val="none" w:sz="0" w:space="0" w:color="auto"/>
        <w:left w:val="none" w:sz="0" w:space="0" w:color="auto"/>
        <w:bottom w:val="none" w:sz="0" w:space="0" w:color="auto"/>
        <w:right w:val="none" w:sz="0" w:space="0" w:color="auto"/>
      </w:divBdr>
    </w:div>
    <w:div w:id="345909355">
      <w:bodyDiv w:val="1"/>
      <w:marLeft w:val="0"/>
      <w:marRight w:val="0"/>
      <w:marTop w:val="0"/>
      <w:marBottom w:val="0"/>
      <w:divBdr>
        <w:top w:val="none" w:sz="0" w:space="0" w:color="auto"/>
        <w:left w:val="none" w:sz="0" w:space="0" w:color="auto"/>
        <w:bottom w:val="none" w:sz="0" w:space="0" w:color="auto"/>
        <w:right w:val="none" w:sz="0" w:space="0" w:color="auto"/>
      </w:divBdr>
    </w:div>
    <w:div w:id="359666437">
      <w:bodyDiv w:val="1"/>
      <w:marLeft w:val="0"/>
      <w:marRight w:val="0"/>
      <w:marTop w:val="0"/>
      <w:marBottom w:val="0"/>
      <w:divBdr>
        <w:top w:val="none" w:sz="0" w:space="0" w:color="auto"/>
        <w:left w:val="none" w:sz="0" w:space="0" w:color="auto"/>
        <w:bottom w:val="none" w:sz="0" w:space="0" w:color="auto"/>
        <w:right w:val="none" w:sz="0" w:space="0" w:color="auto"/>
      </w:divBdr>
    </w:div>
    <w:div w:id="374503321">
      <w:bodyDiv w:val="1"/>
      <w:marLeft w:val="0"/>
      <w:marRight w:val="0"/>
      <w:marTop w:val="0"/>
      <w:marBottom w:val="0"/>
      <w:divBdr>
        <w:top w:val="none" w:sz="0" w:space="0" w:color="auto"/>
        <w:left w:val="none" w:sz="0" w:space="0" w:color="auto"/>
        <w:bottom w:val="none" w:sz="0" w:space="0" w:color="auto"/>
        <w:right w:val="none" w:sz="0" w:space="0" w:color="auto"/>
      </w:divBdr>
    </w:div>
    <w:div w:id="380523381">
      <w:bodyDiv w:val="1"/>
      <w:marLeft w:val="0"/>
      <w:marRight w:val="0"/>
      <w:marTop w:val="0"/>
      <w:marBottom w:val="0"/>
      <w:divBdr>
        <w:top w:val="none" w:sz="0" w:space="0" w:color="auto"/>
        <w:left w:val="none" w:sz="0" w:space="0" w:color="auto"/>
        <w:bottom w:val="none" w:sz="0" w:space="0" w:color="auto"/>
        <w:right w:val="none" w:sz="0" w:space="0" w:color="auto"/>
      </w:divBdr>
    </w:div>
    <w:div w:id="395323353">
      <w:bodyDiv w:val="1"/>
      <w:marLeft w:val="0"/>
      <w:marRight w:val="0"/>
      <w:marTop w:val="0"/>
      <w:marBottom w:val="0"/>
      <w:divBdr>
        <w:top w:val="none" w:sz="0" w:space="0" w:color="auto"/>
        <w:left w:val="none" w:sz="0" w:space="0" w:color="auto"/>
        <w:bottom w:val="none" w:sz="0" w:space="0" w:color="auto"/>
        <w:right w:val="none" w:sz="0" w:space="0" w:color="auto"/>
      </w:divBdr>
    </w:div>
    <w:div w:id="420568717">
      <w:bodyDiv w:val="1"/>
      <w:marLeft w:val="0"/>
      <w:marRight w:val="0"/>
      <w:marTop w:val="0"/>
      <w:marBottom w:val="0"/>
      <w:divBdr>
        <w:top w:val="none" w:sz="0" w:space="0" w:color="auto"/>
        <w:left w:val="none" w:sz="0" w:space="0" w:color="auto"/>
        <w:bottom w:val="none" w:sz="0" w:space="0" w:color="auto"/>
        <w:right w:val="none" w:sz="0" w:space="0" w:color="auto"/>
      </w:divBdr>
    </w:div>
    <w:div w:id="470289366">
      <w:bodyDiv w:val="1"/>
      <w:marLeft w:val="0"/>
      <w:marRight w:val="0"/>
      <w:marTop w:val="0"/>
      <w:marBottom w:val="0"/>
      <w:divBdr>
        <w:top w:val="none" w:sz="0" w:space="0" w:color="auto"/>
        <w:left w:val="none" w:sz="0" w:space="0" w:color="auto"/>
        <w:bottom w:val="none" w:sz="0" w:space="0" w:color="auto"/>
        <w:right w:val="none" w:sz="0" w:space="0" w:color="auto"/>
      </w:divBdr>
    </w:div>
    <w:div w:id="470947373">
      <w:bodyDiv w:val="1"/>
      <w:marLeft w:val="0"/>
      <w:marRight w:val="0"/>
      <w:marTop w:val="0"/>
      <w:marBottom w:val="0"/>
      <w:divBdr>
        <w:top w:val="none" w:sz="0" w:space="0" w:color="auto"/>
        <w:left w:val="none" w:sz="0" w:space="0" w:color="auto"/>
        <w:bottom w:val="none" w:sz="0" w:space="0" w:color="auto"/>
        <w:right w:val="none" w:sz="0" w:space="0" w:color="auto"/>
      </w:divBdr>
    </w:div>
    <w:div w:id="471098016">
      <w:bodyDiv w:val="1"/>
      <w:marLeft w:val="0"/>
      <w:marRight w:val="0"/>
      <w:marTop w:val="0"/>
      <w:marBottom w:val="0"/>
      <w:divBdr>
        <w:top w:val="none" w:sz="0" w:space="0" w:color="auto"/>
        <w:left w:val="none" w:sz="0" w:space="0" w:color="auto"/>
        <w:bottom w:val="none" w:sz="0" w:space="0" w:color="auto"/>
        <w:right w:val="none" w:sz="0" w:space="0" w:color="auto"/>
      </w:divBdr>
    </w:div>
    <w:div w:id="475605719">
      <w:bodyDiv w:val="1"/>
      <w:marLeft w:val="0"/>
      <w:marRight w:val="0"/>
      <w:marTop w:val="0"/>
      <w:marBottom w:val="0"/>
      <w:divBdr>
        <w:top w:val="none" w:sz="0" w:space="0" w:color="auto"/>
        <w:left w:val="none" w:sz="0" w:space="0" w:color="auto"/>
        <w:bottom w:val="none" w:sz="0" w:space="0" w:color="auto"/>
        <w:right w:val="none" w:sz="0" w:space="0" w:color="auto"/>
      </w:divBdr>
    </w:div>
    <w:div w:id="478498659">
      <w:bodyDiv w:val="1"/>
      <w:marLeft w:val="0"/>
      <w:marRight w:val="0"/>
      <w:marTop w:val="0"/>
      <w:marBottom w:val="0"/>
      <w:divBdr>
        <w:top w:val="none" w:sz="0" w:space="0" w:color="auto"/>
        <w:left w:val="none" w:sz="0" w:space="0" w:color="auto"/>
        <w:bottom w:val="none" w:sz="0" w:space="0" w:color="auto"/>
        <w:right w:val="none" w:sz="0" w:space="0" w:color="auto"/>
      </w:divBdr>
    </w:div>
    <w:div w:id="503715375">
      <w:bodyDiv w:val="1"/>
      <w:marLeft w:val="0"/>
      <w:marRight w:val="0"/>
      <w:marTop w:val="0"/>
      <w:marBottom w:val="0"/>
      <w:divBdr>
        <w:top w:val="none" w:sz="0" w:space="0" w:color="auto"/>
        <w:left w:val="none" w:sz="0" w:space="0" w:color="auto"/>
        <w:bottom w:val="none" w:sz="0" w:space="0" w:color="auto"/>
        <w:right w:val="none" w:sz="0" w:space="0" w:color="auto"/>
      </w:divBdr>
    </w:div>
    <w:div w:id="514000388">
      <w:bodyDiv w:val="1"/>
      <w:marLeft w:val="0"/>
      <w:marRight w:val="0"/>
      <w:marTop w:val="0"/>
      <w:marBottom w:val="0"/>
      <w:divBdr>
        <w:top w:val="none" w:sz="0" w:space="0" w:color="auto"/>
        <w:left w:val="none" w:sz="0" w:space="0" w:color="auto"/>
        <w:bottom w:val="none" w:sz="0" w:space="0" w:color="auto"/>
        <w:right w:val="none" w:sz="0" w:space="0" w:color="auto"/>
      </w:divBdr>
    </w:div>
    <w:div w:id="517934812">
      <w:bodyDiv w:val="1"/>
      <w:marLeft w:val="0"/>
      <w:marRight w:val="0"/>
      <w:marTop w:val="0"/>
      <w:marBottom w:val="0"/>
      <w:divBdr>
        <w:top w:val="none" w:sz="0" w:space="0" w:color="auto"/>
        <w:left w:val="none" w:sz="0" w:space="0" w:color="auto"/>
        <w:bottom w:val="none" w:sz="0" w:space="0" w:color="auto"/>
        <w:right w:val="none" w:sz="0" w:space="0" w:color="auto"/>
      </w:divBdr>
    </w:div>
    <w:div w:id="524100146">
      <w:bodyDiv w:val="1"/>
      <w:marLeft w:val="0"/>
      <w:marRight w:val="0"/>
      <w:marTop w:val="0"/>
      <w:marBottom w:val="0"/>
      <w:divBdr>
        <w:top w:val="none" w:sz="0" w:space="0" w:color="auto"/>
        <w:left w:val="none" w:sz="0" w:space="0" w:color="auto"/>
        <w:bottom w:val="none" w:sz="0" w:space="0" w:color="auto"/>
        <w:right w:val="none" w:sz="0" w:space="0" w:color="auto"/>
      </w:divBdr>
    </w:div>
    <w:div w:id="557326581">
      <w:bodyDiv w:val="1"/>
      <w:marLeft w:val="0"/>
      <w:marRight w:val="0"/>
      <w:marTop w:val="0"/>
      <w:marBottom w:val="0"/>
      <w:divBdr>
        <w:top w:val="none" w:sz="0" w:space="0" w:color="auto"/>
        <w:left w:val="none" w:sz="0" w:space="0" w:color="auto"/>
        <w:bottom w:val="none" w:sz="0" w:space="0" w:color="auto"/>
        <w:right w:val="none" w:sz="0" w:space="0" w:color="auto"/>
      </w:divBdr>
    </w:div>
    <w:div w:id="558789237">
      <w:bodyDiv w:val="1"/>
      <w:marLeft w:val="0"/>
      <w:marRight w:val="0"/>
      <w:marTop w:val="0"/>
      <w:marBottom w:val="0"/>
      <w:divBdr>
        <w:top w:val="none" w:sz="0" w:space="0" w:color="auto"/>
        <w:left w:val="none" w:sz="0" w:space="0" w:color="auto"/>
        <w:bottom w:val="none" w:sz="0" w:space="0" w:color="auto"/>
        <w:right w:val="none" w:sz="0" w:space="0" w:color="auto"/>
      </w:divBdr>
    </w:div>
    <w:div w:id="560793110">
      <w:bodyDiv w:val="1"/>
      <w:marLeft w:val="0"/>
      <w:marRight w:val="0"/>
      <w:marTop w:val="0"/>
      <w:marBottom w:val="0"/>
      <w:divBdr>
        <w:top w:val="none" w:sz="0" w:space="0" w:color="auto"/>
        <w:left w:val="none" w:sz="0" w:space="0" w:color="auto"/>
        <w:bottom w:val="none" w:sz="0" w:space="0" w:color="auto"/>
        <w:right w:val="none" w:sz="0" w:space="0" w:color="auto"/>
      </w:divBdr>
    </w:div>
    <w:div w:id="561260235">
      <w:bodyDiv w:val="1"/>
      <w:marLeft w:val="0"/>
      <w:marRight w:val="0"/>
      <w:marTop w:val="0"/>
      <w:marBottom w:val="0"/>
      <w:divBdr>
        <w:top w:val="none" w:sz="0" w:space="0" w:color="auto"/>
        <w:left w:val="none" w:sz="0" w:space="0" w:color="auto"/>
        <w:bottom w:val="none" w:sz="0" w:space="0" w:color="auto"/>
        <w:right w:val="none" w:sz="0" w:space="0" w:color="auto"/>
      </w:divBdr>
    </w:div>
    <w:div w:id="570963759">
      <w:bodyDiv w:val="1"/>
      <w:marLeft w:val="0"/>
      <w:marRight w:val="0"/>
      <w:marTop w:val="0"/>
      <w:marBottom w:val="0"/>
      <w:divBdr>
        <w:top w:val="none" w:sz="0" w:space="0" w:color="auto"/>
        <w:left w:val="none" w:sz="0" w:space="0" w:color="auto"/>
        <w:bottom w:val="none" w:sz="0" w:space="0" w:color="auto"/>
        <w:right w:val="none" w:sz="0" w:space="0" w:color="auto"/>
      </w:divBdr>
    </w:div>
    <w:div w:id="580876439">
      <w:bodyDiv w:val="1"/>
      <w:marLeft w:val="0"/>
      <w:marRight w:val="0"/>
      <w:marTop w:val="0"/>
      <w:marBottom w:val="0"/>
      <w:divBdr>
        <w:top w:val="none" w:sz="0" w:space="0" w:color="auto"/>
        <w:left w:val="none" w:sz="0" w:space="0" w:color="auto"/>
        <w:bottom w:val="none" w:sz="0" w:space="0" w:color="auto"/>
        <w:right w:val="none" w:sz="0" w:space="0" w:color="auto"/>
      </w:divBdr>
    </w:div>
    <w:div w:id="583299107">
      <w:bodyDiv w:val="1"/>
      <w:marLeft w:val="0"/>
      <w:marRight w:val="0"/>
      <w:marTop w:val="0"/>
      <w:marBottom w:val="0"/>
      <w:divBdr>
        <w:top w:val="none" w:sz="0" w:space="0" w:color="auto"/>
        <w:left w:val="none" w:sz="0" w:space="0" w:color="auto"/>
        <w:bottom w:val="none" w:sz="0" w:space="0" w:color="auto"/>
        <w:right w:val="none" w:sz="0" w:space="0" w:color="auto"/>
      </w:divBdr>
    </w:div>
    <w:div w:id="603851897">
      <w:bodyDiv w:val="1"/>
      <w:marLeft w:val="0"/>
      <w:marRight w:val="0"/>
      <w:marTop w:val="0"/>
      <w:marBottom w:val="0"/>
      <w:divBdr>
        <w:top w:val="none" w:sz="0" w:space="0" w:color="auto"/>
        <w:left w:val="none" w:sz="0" w:space="0" w:color="auto"/>
        <w:bottom w:val="none" w:sz="0" w:space="0" w:color="auto"/>
        <w:right w:val="none" w:sz="0" w:space="0" w:color="auto"/>
      </w:divBdr>
    </w:div>
    <w:div w:id="609779561">
      <w:bodyDiv w:val="1"/>
      <w:marLeft w:val="0"/>
      <w:marRight w:val="0"/>
      <w:marTop w:val="0"/>
      <w:marBottom w:val="0"/>
      <w:divBdr>
        <w:top w:val="none" w:sz="0" w:space="0" w:color="auto"/>
        <w:left w:val="none" w:sz="0" w:space="0" w:color="auto"/>
        <w:bottom w:val="none" w:sz="0" w:space="0" w:color="auto"/>
        <w:right w:val="none" w:sz="0" w:space="0" w:color="auto"/>
      </w:divBdr>
    </w:div>
    <w:div w:id="611520056">
      <w:bodyDiv w:val="1"/>
      <w:marLeft w:val="0"/>
      <w:marRight w:val="0"/>
      <w:marTop w:val="0"/>
      <w:marBottom w:val="0"/>
      <w:divBdr>
        <w:top w:val="none" w:sz="0" w:space="0" w:color="auto"/>
        <w:left w:val="none" w:sz="0" w:space="0" w:color="auto"/>
        <w:bottom w:val="none" w:sz="0" w:space="0" w:color="auto"/>
        <w:right w:val="none" w:sz="0" w:space="0" w:color="auto"/>
      </w:divBdr>
    </w:div>
    <w:div w:id="624891784">
      <w:bodyDiv w:val="1"/>
      <w:marLeft w:val="0"/>
      <w:marRight w:val="0"/>
      <w:marTop w:val="0"/>
      <w:marBottom w:val="0"/>
      <w:divBdr>
        <w:top w:val="none" w:sz="0" w:space="0" w:color="auto"/>
        <w:left w:val="none" w:sz="0" w:space="0" w:color="auto"/>
        <w:bottom w:val="none" w:sz="0" w:space="0" w:color="auto"/>
        <w:right w:val="none" w:sz="0" w:space="0" w:color="auto"/>
      </w:divBdr>
    </w:div>
    <w:div w:id="632254138">
      <w:bodyDiv w:val="1"/>
      <w:marLeft w:val="0"/>
      <w:marRight w:val="0"/>
      <w:marTop w:val="0"/>
      <w:marBottom w:val="0"/>
      <w:divBdr>
        <w:top w:val="none" w:sz="0" w:space="0" w:color="auto"/>
        <w:left w:val="none" w:sz="0" w:space="0" w:color="auto"/>
        <w:bottom w:val="none" w:sz="0" w:space="0" w:color="auto"/>
        <w:right w:val="none" w:sz="0" w:space="0" w:color="auto"/>
      </w:divBdr>
    </w:div>
    <w:div w:id="632323136">
      <w:bodyDiv w:val="1"/>
      <w:marLeft w:val="0"/>
      <w:marRight w:val="0"/>
      <w:marTop w:val="0"/>
      <w:marBottom w:val="0"/>
      <w:divBdr>
        <w:top w:val="none" w:sz="0" w:space="0" w:color="auto"/>
        <w:left w:val="none" w:sz="0" w:space="0" w:color="auto"/>
        <w:bottom w:val="none" w:sz="0" w:space="0" w:color="auto"/>
        <w:right w:val="none" w:sz="0" w:space="0" w:color="auto"/>
      </w:divBdr>
    </w:div>
    <w:div w:id="640423899">
      <w:bodyDiv w:val="1"/>
      <w:marLeft w:val="0"/>
      <w:marRight w:val="0"/>
      <w:marTop w:val="0"/>
      <w:marBottom w:val="0"/>
      <w:divBdr>
        <w:top w:val="none" w:sz="0" w:space="0" w:color="auto"/>
        <w:left w:val="none" w:sz="0" w:space="0" w:color="auto"/>
        <w:bottom w:val="none" w:sz="0" w:space="0" w:color="auto"/>
        <w:right w:val="none" w:sz="0" w:space="0" w:color="auto"/>
      </w:divBdr>
    </w:div>
    <w:div w:id="649746002">
      <w:bodyDiv w:val="1"/>
      <w:marLeft w:val="0"/>
      <w:marRight w:val="0"/>
      <w:marTop w:val="0"/>
      <w:marBottom w:val="0"/>
      <w:divBdr>
        <w:top w:val="none" w:sz="0" w:space="0" w:color="auto"/>
        <w:left w:val="none" w:sz="0" w:space="0" w:color="auto"/>
        <w:bottom w:val="none" w:sz="0" w:space="0" w:color="auto"/>
        <w:right w:val="none" w:sz="0" w:space="0" w:color="auto"/>
      </w:divBdr>
    </w:div>
    <w:div w:id="659039463">
      <w:bodyDiv w:val="1"/>
      <w:marLeft w:val="0"/>
      <w:marRight w:val="0"/>
      <w:marTop w:val="0"/>
      <w:marBottom w:val="0"/>
      <w:divBdr>
        <w:top w:val="none" w:sz="0" w:space="0" w:color="auto"/>
        <w:left w:val="none" w:sz="0" w:space="0" w:color="auto"/>
        <w:bottom w:val="none" w:sz="0" w:space="0" w:color="auto"/>
        <w:right w:val="none" w:sz="0" w:space="0" w:color="auto"/>
      </w:divBdr>
    </w:div>
    <w:div w:id="660617364">
      <w:bodyDiv w:val="1"/>
      <w:marLeft w:val="0"/>
      <w:marRight w:val="0"/>
      <w:marTop w:val="0"/>
      <w:marBottom w:val="0"/>
      <w:divBdr>
        <w:top w:val="none" w:sz="0" w:space="0" w:color="auto"/>
        <w:left w:val="none" w:sz="0" w:space="0" w:color="auto"/>
        <w:bottom w:val="none" w:sz="0" w:space="0" w:color="auto"/>
        <w:right w:val="none" w:sz="0" w:space="0" w:color="auto"/>
      </w:divBdr>
    </w:div>
    <w:div w:id="660931298">
      <w:bodyDiv w:val="1"/>
      <w:marLeft w:val="0"/>
      <w:marRight w:val="0"/>
      <w:marTop w:val="0"/>
      <w:marBottom w:val="0"/>
      <w:divBdr>
        <w:top w:val="none" w:sz="0" w:space="0" w:color="auto"/>
        <w:left w:val="none" w:sz="0" w:space="0" w:color="auto"/>
        <w:bottom w:val="none" w:sz="0" w:space="0" w:color="auto"/>
        <w:right w:val="none" w:sz="0" w:space="0" w:color="auto"/>
      </w:divBdr>
    </w:div>
    <w:div w:id="664553646">
      <w:bodyDiv w:val="1"/>
      <w:marLeft w:val="0"/>
      <w:marRight w:val="0"/>
      <w:marTop w:val="0"/>
      <w:marBottom w:val="0"/>
      <w:divBdr>
        <w:top w:val="none" w:sz="0" w:space="0" w:color="auto"/>
        <w:left w:val="none" w:sz="0" w:space="0" w:color="auto"/>
        <w:bottom w:val="none" w:sz="0" w:space="0" w:color="auto"/>
        <w:right w:val="none" w:sz="0" w:space="0" w:color="auto"/>
      </w:divBdr>
    </w:div>
    <w:div w:id="685400707">
      <w:bodyDiv w:val="1"/>
      <w:marLeft w:val="0"/>
      <w:marRight w:val="0"/>
      <w:marTop w:val="0"/>
      <w:marBottom w:val="0"/>
      <w:divBdr>
        <w:top w:val="none" w:sz="0" w:space="0" w:color="auto"/>
        <w:left w:val="none" w:sz="0" w:space="0" w:color="auto"/>
        <w:bottom w:val="none" w:sz="0" w:space="0" w:color="auto"/>
        <w:right w:val="none" w:sz="0" w:space="0" w:color="auto"/>
      </w:divBdr>
    </w:div>
    <w:div w:id="695086000">
      <w:bodyDiv w:val="1"/>
      <w:marLeft w:val="0"/>
      <w:marRight w:val="0"/>
      <w:marTop w:val="0"/>
      <w:marBottom w:val="0"/>
      <w:divBdr>
        <w:top w:val="none" w:sz="0" w:space="0" w:color="auto"/>
        <w:left w:val="none" w:sz="0" w:space="0" w:color="auto"/>
        <w:bottom w:val="none" w:sz="0" w:space="0" w:color="auto"/>
        <w:right w:val="none" w:sz="0" w:space="0" w:color="auto"/>
      </w:divBdr>
    </w:div>
    <w:div w:id="703600896">
      <w:bodyDiv w:val="1"/>
      <w:marLeft w:val="0"/>
      <w:marRight w:val="0"/>
      <w:marTop w:val="0"/>
      <w:marBottom w:val="0"/>
      <w:divBdr>
        <w:top w:val="none" w:sz="0" w:space="0" w:color="auto"/>
        <w:left w:val="none" w:sz="0" w:space="0" w:color="auto"/>
        <w:bottom w:val="none" w:sz="0" w:space="0" w:color="auto"/>
        <w:right w:val="none" w:sz="0" w:space="0" w:color="auto"/>
      </w:divBdr>
    </w:div>
    <w:div w:id="708452316">
      <w:bodyDiv w:val="1"/>
      <w:marLeft w:val="0"/>
      <w:marRight w:val="0"/>
      <w:marTop w:val="0"/>
      <w:marBottom w:val="0"/>
      <w:divBdr>
        <w:top w:val="none" w:sz="0" w:space="0" w:color="auto"/>
        <w:left w:val="none" w:sz="0" w:space="0" w:color="auto"/>
        <w:bottom w:val="none" w:sz="0" w:space="0" w:color="auto"/>
        <w:right w:val="none" w:sz="0" w:space="0" w:color="auto"/>
      </w:divBdr>
    </w:div>
    <w:div w:id="709888027">
      <w:bodyDiv w:val="1"/>
      <w:marLeft w:val="0"/>
      <w:marRight w:val="0"/>
      <w:marTop w:val="0"/>
      <w:marBottom w:val="0"/>
      <w:divBdr>
        <w:top w:val="none" w:sz="0" w:space="0" w:color="auto"/>
        <w:left w:val="none" w:sz="0" w:space="0" w:color="auto"/>
        <w:bottom w:val="none" w:sz="0" w:space="0" w:color="auto"/>
        <w:right w:val="none" w:sz="0" w:space="0" w:color="auto"/>
      </w:divBdr>
    </w:div>
    <w:div w:id="726417639">
      <w:bodyDiv w:val="1"/>
      <w:marLeft w:val="0"/>
      <w:marRight w:val="0"/>
      <w:marTop w:val="0"/>
      <w:marBottom w:val="0"/>
      <w:divBdr>
        <w:top w:val="none" w:sz="0" w:space="0" w:color="auto"/>
        <w:left w:val="none" w:sz="0" w:space="0" w:color="auto"/>
        <w:bottom w:val="none" w:sz="0" w:space="0" w:color="auto"/>
        <w:right w:val="none" w:sz="0" w:space="0" w:color="auto"/>
      </w:divBdr>
    </w:div>
    <w:div w:id="728266600">
      <w:bodyDiv w:val="1"/>
      <w:marLeft w:val="0"/>
      <w:marRight w:val="0"/>
      <w:marTop w:val="0"/>
      <w:marBottom w:val="0"/>
      <w:divBdr>
        <w:top w:val="none" w:sz="0" w:space="0" w:color="auto"/>
        <w:left w:val="none" w:sz="0" w:space="0" w:color="auto"/>
        <w:bottom w:val="none" w:sz="0" w:space="0" w:color="auto"/>
        <w:right w:val="none" w:sz="0" w:space="0" w:color="auto"/>
      </w:divBdr>
    </w:div>
    <w:div w:id="731272732">
      <w:bodyDiv w:val="1"/>
      <w:marLeft w:val="0"/>
      <w:marRight w:val="0"/>
      <w:marTop w:val="0"/>
      <w:marBottom w:val="0"/>
      <w:divBdr>
        <w:top w:val="none" w:sz="0" w:space="0" w:color="auto"/>
        <w:left w:val="none" w:sz="0" w:space="0" w:color="auto"/>
        <w:bottom w:val="none" w:sz="0" w:space="0" w:color="auto"/>
        <w:right w:val="none" w:sz="0" w:space="0" w:color="auto"/>
      </w:divBdr>
    </w:div>
    <w:div w:id="745079267">
      <w:bodyDiv w:val="1"/>
      <w:marLeft w:val="0"/>
      <w:marRight w:val="0"/>
      <w:marTop w:val="0"/>
      <w:marBottom w:val="0"/>
      <w:divBdr>
        <w:top w:val="none" w:sz="0" w:space="0" w:color="auto"/>
        <w:left w:val="none" w:sz="0" w:space="0" w:color="auto"/>
        <w:bottom w:val="none" w:sz="0" w:space="0" w:color="auto"/>
        <w:right w:val="none" w:sz="0" w:space="0" w:color="auto"/>
      </w:divBdr>
    </w:div>
    <w:div w:id="776684096">
      <w:bodyDiv w:val="1"/>
      <w:marLeft w:val="0"/>
      <w:marRight w:val="0"/>
      <w:marTop w:val="0"/>
      <w:marBottom w:val="0"/>
      <w:divBdr>
        <w:top w:val="none" w:sz="0" w:space="0" w:color="auto"/>
        <w:left w:val="none" w:sz="0" w:space="0" w:color="auto"/>
        <w:bottom w:val="none" w:sz="0" w:space="0" w:color="auto"/>
        <w:right w:val="none" w:sz="0" w:space="0" w:color="auto"/>
      </w:divBdr>
    </w:div>
    <w:div w:id="812601848">
      <w:bodyDiv w:val="1"/>
      <w:marLeft w:val="0"/>
      <w:marRight w:val="0"/>
      <w:marTop w:val="0"/>
      <w:marBottom w:val="0"/>
      <w:divBdr>
        <w:top w:val="none" w:sz="0" w:space="0" w:color="auto"/>
        <w:left w:val="none" w:sz="0" w:space="0" w:color="auto"/>
        <w:bottom w:val="none" w:sz="0" w:space="0" w:color="auto"/>
        <w:right w:val="none" w:sz="0" w:space="0" w:color="auto"/>
      </w:divBdr>
    </w:div>
    <w:div w:id="818350811">
      <w:bodyDiv w:val="1"/>
      <w:marLeft w:val="0"/>
      <w:marRight w:val="0"/>
      <w:marTop w:val="0"/>
      <w:marBottom w:val="0"/>
      <w:divBdr>
        <w:top w:val="none" w:sz="0" w:space="0" w:color="auto"/>
        <w:left w:val="none" w:sz="0" w:space="0" w:color="auto"/>
        <w:bottom w:val="none" w:sz="0" w:space="0" w:color="auto"/>
        <w:right w:val="none" w:sz="0" w:space="0" w:color="auto"/>
      </w:divBdr>
    </w:div>
    <w:div w:id="821890316">
      <w:bodyDiv w:val="1"/>
      <w:marLeft w:val="0"/>
      <w:marRight w:val="0"/>
      <w:marTop w:val="0"/>
      <w:marBottom w:val="0"/>
      <w:divBdr>
        <w:top w:val="none" w:sz="0" w:space="0" w:color="auto"/>
        <w:left w:val="none" w:sz="0" w:space="0" w:color="auto"/>
        <w:bottom w:val="none" w:sz="0" w:space="0" w:color="auto"/>
        <w:right w:val="none" w:sz="0" w:space="0" w:color="auto"/>
      </w:divBdr>
    </w:div>
    <w:div w:id="834995820">
      <w:bodyDiv w:val="1"/>
      <w:marLeft w:val="0"/>
      <w:marRight w:val="0"/>
      <w:marTop w:val="0"/>
      <w:marBottom w:val="0"/>
      <w:divBdr>
        <w:top w:val="none" w:sz="0" w:space="0" w:color="auto"/>
        <w:left w:val="none" w:sz="0" w:space="0" w:color="auto"/>
        <w:bottom w:val="none" w:sz="0" w:space="0" w:color="auto"/>
        <w:right w:val="none" w:sz="0" w:space="0" w:color="auto"/>
      </w:divBdr>
    </w:div>
    <w:div w:id="842164881">
      <w:bodyDiv w:val="1"/>
      <w:marLeft w:val="0"/>
      <w:marRight w:val="0"/>
      <w:marTop w:val="0"/>
      <w:marBottom w:val="0"/>
      <w:divBdr>
        <w:top w:val="none" w:sz="0" w:space="0" w:color="auto"/>
        <w:left w:val="none" w:sz="0" w:space="0" w:color="auto"/>
        <w:bottom w:val="none" w:sz="0" w:space="0" w:color="auto"/>
        <w:right w:val="none" w:sz="0" w:space="0" w:color="auto"/>
      </w:divBdr>
    </w:div>
    <w:div w:id="854727706">
      <w:bodyDiv w:val="1"/>
      <w:marLeft w:val="0"/>
      <w:marRight w:val="0"/>
      <w:marTop w:val="0"/>
      <w:marBottom w:val="0"/>
      <w:divBdr>
        <w:top w:val="none" w:sz="0" w:space="0" w:color="auto"/>
        <w:left w:val="none" w:sz="0" w:space="0" w:color="auto"/>
        <w:bottom w:val="none" w:sz="0" w:space="0" w:color="auto"/>
        <w:right w:val="none" w:sz="0" w:space="0" w:color="auto"/>
      </w:divBdr>
    </w:div>
    <w:div w:id="860321121">
      <w:bodyDiv w:val="1"/>
      <w:marLeft w:val="0"/>
      <w:marRight w:val="0"/>
      <w:marTop w:val="0"/>
      <w:marBottom w:val="0"/>
      <w:divBdr>
        <w:top w:val="none" w:sz="0" w:space="0" w:color="auto"/>
        <w:left w:val="none" w:sz="0" w:space="0" w:color="auto"/>
        <w:bottom w:val="none" w:sz="0" w:space="0" w:color="auto"/>
        <w:right w:val="none" w:sz="0" w:space="0" w:color="auto"/>
      </w:divBdr>
    </w:div>
    <w:div w:id="861941946">
      <w:bodyDiv w:val="1"/>
      <w:marLeft w:val="0"/>
      <w:marRight w:val="0"/>
      <w:marTop w:val="0"/>
      <w:marBottom w:val="0"/>
      <w:divBdr>
        <w:top w:val="none" w:sz="0" w:space="0" w:color="auto"/>
        <w:left w:val="none" w:sz="0" w:space="0" w:color="auto"/>
        <w:bottom w:val="none" w:sz="0" w:space="0" w:color="auto"/>
        <w:right w:val="none" w:sz="0" w:space="0" w:color="auto"/>
      </w:divBdr>
    </w:div>
    <w:div w:id="877396889">
      <w:bodyDiv w:val="1"/>
      <w:marLeft w:val="0"/>
      <w:marRight w:val="0"/>
      <w:marTop w:val="0"/>
      <w:marBottom w:val="0"/>
      <w:divBdr>
        <w:top w:val="none" w:sz="0" w:space="0" w:color="auto"/>
        <w:left w:val="none" w:sz="0" w:space="0" w:color="auto"/>
        <w:bottom w:val="none" w:sz="0" w:space="0" w:color="auto"/>
        <w:right w:val="none" w:sz="0" w:space="0" w:color="auto"/>
      </w:divBdr>
    </w:div>
    <w:div w:id="885874125">
      <w:bodyDiv w:val="1"/>
      <w:marLeft w:val="0"/>
      <w:marRight w:val="0"/>
      <w:marTop w:val="0"/>
      <w:marBottom w:val="0"/>
      <w:divBdr>
        <w:top w:val="none" w:sz="0" w:space="0" w:color="auto"/>
        <w:left w:val="none" w:sz="0" w:space="0" w:color="auto"/>
        <w:bottom w:val="none" w:sz="0" w:space="0" w:color="auto"/>
        <w:right w:val="none" w:sz="0" w:space="0" w:color="auto"/>
      </w:divBdr>
    </w:div>
    <w:div w:id="891159089">
      <w:bodyDiv w:val="1"/>
      <w:marLeft w:val="0"/>
      <w:marRight w:val="0"/>
      <w:marTop w:val="0"/>
      <w:marBottom w:val="0"/>
      <w:divBdr>
        <w:top w:val="none" w:sz="0" w:space="0" w:color="auto"/>
        <w:left w:val="none" w:sz="0" w:space="0" w:color="auto"/>
        <w:bottom w:val="none" w:sz="0" w:space="0" w:color="auto"/>
        <w:right w:val="none" w:sz="0" w:space="0" w:color="auto"/>
      </w:divBdr>
    </w:div>
    <w:div w:id="896552615">
      <w:bodyDiv w:val="1"/>
      <w:marLeft w:val="0"/>
      <w:marRight w:val="0"/>
      <w:marTop w:val="0"/>
      <w:marBottom w:val="0"/>
      <w:divBdr>
        <w:top w:val="none" w:sz="0" w:space="0" w:color="auto"/>
        <w:left w:val="none" w:sz="0" w:space="0" w:color="auto"/>
        <w:bottom w:val="none" w:sz="0" w:space="0" w:color="auto"/>
        <w:right w:val="none" w:sz="0" w:space="0" w:color="auto"/>
      </w:divBdr>
    </w:div>
    <w:div w:id="897672118">
      <w:bodyDiv w:val="1"/>
      <w:marLeft w:val="0"/>
      <w:marRight w:val="0"/>
      <w:marTop w:val="0"/>
      <w:marBottom w:val="0"/>
      <w:divBdr>
        <w:top w:val="none" w:sz="0" w:space="0" w:color="auto"/>
        <w:left w:val="none" w:sz="0" w:space="0" w:color="auto"/>
        <w:bottom w:val="none" w:sz="0" w:space="0" w:color="auto"/>
        <w:right w:val="none" w:sz="0" w:space="0" w:color="auto"/>
      </w:divBdr>
    </w:div>
    <w:div w:id="904878200">
      <w:bodyDiv w:val="1"/>
      <w:marLeft w:val="0"/>
      <w:marRight w:val="0"/>
      <w:marTop w:val="0"/>
      <w:marBottom w:val="0"/>
      <w:divBdr>
        <w:top w:val="none" w:sz="0" w:space="0" w:color="auto"/>
        <w:left w:val="none" w:sz="0" w:space="0" w:color="auto"/>
        <w:bottom w:val="none" w:sz="0" w:space="0" w:color="auto"/>
        <w:right w:val="none" w:sz="0" w:space="0" w:color="auto"/>
      </w:divBdr>
    </w:div>
    <w:div w:id="914584059">
      <w:bodyDiv w:val="1"/>
      <w:marLeft w:val="0"/>
      <w:marRight w:val="0"/>
      <w:marTop w:val="0"/>
      <w:marBottom w:val="0"/>
      <w:divBdr>
        <w:top w:val="none" w:sz="0" w:space="0" w:color="auto"/>
        <w:left w:val="none" w:sz="0" w:space="0" w:color="auto"/>
        <w:bottom w:val="none" w:sz="0" w:space="0" w:color="auto"/>
        <w:right w:val="none" w:sz="0" w:space="0" w:color="auto"/>
      </w:divBdr>
    </w:div>
    <w:div w:id="917709689">
      <w:bodyDiv w:val="1"/>
      <w:marLeft w:val="0"/>
      <w:marRight w:val="0"/>
      <w:marTop w:val="0"/>
      <w:marBottom w:val="0"/>
      <w:divBdr>
        <w:top w:val="none" w:sz="0" w:space="0" w:color="auto"/>
        <w:left w:val="none" w:sz="0" w:space="0" w:color="auto"/>
        <w:bottom w:val="none" w:sz="0" w:space="0" w:color="auto"/>
        <w:right w:val="none" w:sz="0" w:space="0" w:color="auto"/>
      </w:divBdr>
    </w:div>
    <w:div w:id="917715032">
      <w:bodyDiv w:val="1"/>
      <w:marLeft w:val="0"/>
      <w:marRight w:val="0"/>
      <w:marTop w:val="0"/>
      <w:marBottom w:val="0"/>
      <w:divBdr>
        <w:top w:val="none" w:sz="0" w:space="0" w:color="auto"/>
        <w:left w:val="none" w:sz="0" w:space="0" w:color="auto"/>
        <w:bottom w:val="none" w:sz="0" w:space="0" w:color="auto"/>
        <w:right w:val="none" w:sz="0" w:space="0" w:color="auto"/>
      </w:divBdr>
    </w:div>
    <w:div w:id="942540772">
      <w:bodyDiv w:val="1"/>
      <w:marLeft w:val="0"/>
      <w:marRight w:val="0"/>
      <w:marTop w:val="0"/>
      <w:marBottom w:val="0"/>
      <w:divBdr>
        <w:top w:val="none" w:sz="0" w:space="0" w:color="auto"/>
        <w:left w:val="none" w:sz="0" w:space="0" w:color="auto"/>
        <w:bottom w:val="none" w:sz="0" w:space="0" w:color="auto"/>
        <w:right w:val="none" w:sz="0" w:space="0" w:color="auto"/>
      </w:divBdr>
    </w:div>
    <w:div w:id="952899157">
      <w:bodyDiv w:val="1"/>
      <w:marLeft w:val="0"/>
      <w:marRight w:val="0"/>
      <w:marTop w:val="0"/>
      <w:marBottom w:val="0"/>
      <w:divBdr>
        <w:top w:val="none" w:sz="0" w:space="0" w:color="auto"/>
        <w:left w:val="none" w:sz="0" w:space="0" w:color="auto"/>
        <w:bottom w:val="none" w:sz="0" w:space="0" w:color="auto"/>
        <w:right w:val="none" w:sz="0" w:space="0" w:color="auto"/>
      </w:divBdr>
    </w:div>
    <w:div w:id="954676689">
      <w:bodyDiv w:val="1"/>
      <w:marLeft w:val="0"/>
      <w:marRight w:val="0"/>
      <w:marTop w:val="0"/>
      <w:marBottom w:val="0"/>
      <w:divBdr>
        <w:top w:val="none" w:sz="0" w:space="0" w:color="auto"/>
        <w:left w:val="none" w:sz="0" w:space="0" w:color="auto"/>
        <w:bottom w:val="none" w:sz="0" w:space="0" w:color="auto"/>
        <w:right w:val="none" w:sz="0" w:space="0" w:color="auto"/>
      </w:divBdr>
    </w:div>
    <w:div w:id="959990271">
      <w:bodyDiv w:val="1"/>
      <w:marLeft w:val="0"/>
      <w:marRight w:val="0"/>
      <w:marTop w:val="0"/>
      <w:marBottom w:val="0"/>
      <w:divBdr>
        <w:top w:val="none" w:sz="0" w:space="0" w:color="auto"/>
        <w:left w:val="none" w:sz="0" w:space="0" w:color="auto"/>
        <w:bottom w:val="none" w:sz="0" w:space="0" w:color="auto"/>
        <w:right w:val="none" w:sz="0" w:space="0" w:color="auto"/>
      </w:divBdr>
    </w:div>
    <w:div w:id="968511289">
      <w:bodyDiv w:val="1"/>
      <w:marLeft w:val="0"/>
      <w:marRight w:val="0"/>
      <w:marTop w:val="0"/>
      <w:marBottom w:val="0"/>
      <w:divBdr>
        <w:top w:val="none" w:sz="0" w:space="0" w:color="auto"/>
        <w:left w:val="none" w:sz="0" w:space="0" w:color="auto"/>
        <w:bottom w:val="none" w:sz="0" w:space="0" w:color="auto"/>
        <w:right w:val="none" w:sz="0" w:space="0" w:color="auto"/>
      </w:divBdr>
    </w:div>
    <w:div w:id="978463447">
      <w:bodyDiv w:val="1"/>
      <w:marLeft w:val="0"/>
      <w:marRight w:val="0"/>
      <w:marTop w:val="0"/>
      <w:marBottom w:val="0"/>
      <w:divBdr>
        <w:top w:val="none" w:sz="0" w:space="0" w:color="auto"/>
        <w:left w:val="none" w:sz="0" w:space="0" w:color="auto"/>
        <w:bottom w:val="none" w:sz="0" w:space="0" w:color="auto"/>
        <w:right w:val="none" w:sz="0" w:space="0" w:color="auto"/>
      </w:divBdr>
    </w:div>
    <w:div w:id="986321361">
      <w:bodyDiv w:val="1"/>
      <w:marLeft w:val="0"/>
      <w:marRight w:val="0"/>
      <w:marTop w:val="0"/>
      <w:marBottom w:val="0"/>
      <w:divBdr>
        <w:top w:val="none" w:sz="0" w:space="0" w:color="auto"/>
        <w:left w:val="none" w:sz="0" w:space="0" w:color="auto"/>
        <w:bottom w:val="none" w:sz="0" w:space="0" w:color="auto"/>
        <w:right w:val="none" w:sz="0" w:space="0" w:color="auto"/>
      </w:divBdr>
    </w:div>
    <w:div w:id="1003508220">
      <w:bodyDiv w:val="1"/>
      <w:marLeft w:val="0"/>
      <w:marRight w:val="0"/>
      <w:marTop w:val="0"/>
      <w:marBottom w:val="0"/>
      <w:divBdr>
        <w:top w:val="none" w:sz="0" w:space="0" w:color="auto"/>
        <w:left w:val="none" w:sz="0" w:space="0" w:color="auto"/>
        <w:bottom w:val="none" w:sz="0" w:space="0" w:color="auto"/>
        <w:right w:val="none" w:sz="0" w:space="0" w:color="auto"/>
      </w:divBdr>
    </w:div>
    <w:div w:id="1010332983">
      <w:bodyDiv w:val="1"/>
      <w:marLeft w:val="0"/>
      <w:marRight w:val="0"/>
      <w:marTop w:val="0"/>
      <w:marBottom w:val="0"/>
      <w:divBdr>
        <w:top w:val="none" w:sz="0" w:space="0" w:color="auto"/>
        <w:left w:val="none" w:sz="0" w:space="0" w:color="auto"/>
        <w:bottom w:val="none" w:sz="0" w:space="0" w:color="auto"/>
        <w:right w:val="none" w:sz="0" w:space="0" w:color="auto"/>
      </w:divBdr>
    </w:div>
    <w:div w:id="1019962869">
      <w:bodyDiv w:val="1"/>
      <w:marLeft w:val="0"/>
      <w:marRight w:val="0"/>
      <w:marTop w:val="0"/>
      <w:marBottom w:val="0"/>
      <w:divBdr>
        <w:top w:val="none" w:sz="0" w:space="0" w:color="auto"/>
        <w:left w:val="none" w:sz="0" w:space="0" w:color="auto"/>
        <w:bottom w:val="none" w:sz="0" w:space="0" w:color="auto"/>
        <w:right w:val="none" w:sz="0" w:space="0" w:color="auto"/>
      </w:divBdr>
    </w:div>
    <w:div w:id="1020469193">
      <w:bodyDiv w:val="1"/>
      <w:marLeft w:val="0"/>
      <w:marRight w:val="0"/>
      <w:marTop w:val="0"/>
      <w:marBottom w:val="0"/>
      <w:divBdr>
        <w:top w:val="none" w:sz="0" w:space="0" w:color="auto"/>
        <w:left w:val="none" w:sz="0" w:space="0" w:color="auto"/>
        <w:bottom w:val="none" w:sz="0" w:space="0" w:color="auto"/>
        <w:right w:val="none" w:sz="0" w:space="0" w:color="auto"/>
      </w:divBdr>
    </w:div>
    <w:div w:id="1022902448">
      <w:bodyDiv w:val="1"/>
      <w:marLeft w:val="0"/>
      <w:marRight w:val="0"/>
      <w:marTop w:val="0"/>
      <w:marBottom w:val="0"/>
      <w:divBdr>
        <w:top w:val="none" w:sz="0" w:space="0" w:color="auto"/>
        <w:left w:val="none" w:sz="0" w:space="0" w:color="auto"/>
        <w:bottom w:val="none" w:sz="0" w:space="0" w:color="auto"/>
        <w:right w:val="none" w:sz="0" w:space="0" w:color="auto"/>
      </w:divBdr>
    </w:div>
    <w:div w:id="1024936883">
      <w:bodyDiv w:val="1"/>
      <w:marLeft w:val="0"/>
      <w:marRight w:val="0"/>
      <w:marTop w:val="0"/>
      <w:marBottom w:val="0"/>
      <w:divBdr>
        <w:top w:val="none" w:sz="0" w:space="0" w:color="auto"/>
        <w:left w:val="none" w:sz="0" w:space="0" w:color="auto"/>
        <w:bottom w:val="none" w:sz="0" w:space="0" w:color="auto"/>
        <w:right w:val="none" w:sz="0" w:space="0" w:color="auto"/>
      </w:divBdr>
    </w:div>
    <w:div w:id="1028333060">
      <w:bodyDiv w:val="1"/>
      <w:marLeft w:val="0"/>
      <w:marRight w:val="0"/>
      <w:marTop w:val="0"/>
      <w:marBottom w:val="0"/>
      <w:divBdr>
        <w:top w:val="none" w:sz="0" w:space="0" w:color="auto"/>
        <w:left w:val="none" w:sz="0" w:space="0" w:color="auto"/>
        <w:bottom w:val="none" w:sz="0" w:space="0" w:color="auto"/>
        <w:right w:val="none" w:sz="0" w:space="0" w:color="auto"/>
      </w:divBdr>
    </w:div>
    <w:div w:id="1028486786">
      <w:bodyDiv w:val="1"/>
      <w:marLeft w:val="0"/>
      <w:marRight w:val="0"/>
      <w:marTop w:val="0"/>
      <w:marBottom w:val="0"/>
      <w:divBdr>
        <w:top w:val="none" w:sz="0" w:space="0" w:color="auto"/>
        <w:left w:val="none" w:sz="0" w:space="0" w:color="auto"/>
        <w:bottom w:val="none" w:sz="0" w:space="0" w:color="auto"/>
        <w:right w:val="none" w:sz="0" w:space="0" w:color="auto"/>
      </w:divBdr>
    </w:div>
    <w:div w:id="1031026863">
      <w:bodyDiv w:val="1"/>
      <w:marLeft w:val="0"/>
      <w:marRight w:val="0"/>
      <w:marTop w:val="0"/>
      <w:marBottom w:val="0"/>
      <w:divBdr>
        <w:top w:val="none" w:sz="0" w:space="0" w:color="auto"/>
        <w:left w:val="none" w:sz="0" w:space="0" w:color="auto"/>
        <w:bottom w:val="none" w:sz="0" w:space="0" w:color="auto"/>
        <w:right w:val="none" w:sz="0" w:space="0" w:color="auto"/>
      </w:divBdr>
    </w:div>
    <w:div w:id="1037241606">
      <w:bodyDiv w:val="1"/>
      <w:marLeft w:val="0"/>
      <w:marRight w:val="0"/>
      <w:marTop w:val="0"/>
      <w:marBottom w:val="0"/>
      <w:divBdr>
        <w:top w:val="none" w:sz="0" w:space="0" w:color="auto"/>
        <w:left w:val="none" w:sz="0" w:space="0" w:color="auto"/>
        <w:bottom w:val="none" w:sz="0" w:space="0" w:color="auto"/>
        <w:right w:val="none" w:sz="0" w:space="0" w:color="auto"/>
      </w:divBdr>
    </w:div>
    <w:div w:id="1040129637">
      <w:bodyDiv w:val="1"/>
      <w:marLeft w:val="0"/>
      <w:marRight w:val="0"/>
      <w:marTop w:val="0"/>
      <w:marBottom w:val="0"/>
      <w:divBdr>
        <w:top w:val="none" w:sz="0" w:space="0" w:color="auto"/>
        <w:left w:val="none" w:sz="0" w:space="0" w:color="auto"/>
        <w:bottom w:val="none" w:sz="0" w:space="0" w:color="auto"/>
        <w:right w:val="none" w:sz="0" w:space="0" w:color="auto"/>
      </w:divBdr>
    </w:div>
    <w:div w:id="1041633083">
      <w:bodyDiv w:val="1"/>
      <w:marLeft w:val="0"/>
      <w:marRight w:val="0"/>
      <w:marTop w:val="0"/>
      <w:marBottom w:val="0"/>
      <w:divBdr>
        <w:top w:val="none" w:sz="0" w:space="0" w:color="auto"/>
        <w:left w:val="none" w:sz="0" w:space="0" w:color="auto"/>
        <w:bottom w:val="none" w:sz="0" w:space="0" w:color="auto"/>
        <w:right w:val="none" w:sz="0" w:space="0" w:color="auto"/>
      </w:divBdr>
    </w:div>
    <w:div w:id="1051460483">
      <w:bodyDiv w:val="1"/>
      <w:marLeft w:val="0"/>
      <w:marRight w:val="0"/>
      <w:marTop w:val="0"/>
      <w:marBottom w:val="0"/>
      <w:divBdr>
        <w:top w:val="none" w:sz="0" w:space="0" w:color="auto"/>
        <w:left w:val="none" w:sz="0" w:space="0" w:color="auto"/>
        <w:bottom w:val="none" w:sz="0" w:space="0" w:color="auto"/>
        <w:right w:val="none" w:sz="0" w:space="0" w:color="auto"/>
      </w:divBdr>
    </w:div>
    <w:div w:id="1065957253">
      <w:bodyDiv w:val="1"/>
      <w:marLeft w:val="0"/>
      <w:marRight w:val="0"/>
      <w:marTop w:val="0"/>
      <w:marBottom w:val="0"/>
      <w:divBdr>
        <w:top w:val="none" w:sz="0" w:space="0" w:color="auto"/>
        <w:left w:val="none" w:sz="0" w:space="0" w:color="auto"/>
        <w:bottom w:val="none" w:sz="0" w:space="0" w:color="auto"/>
        <w:right w:val="none" w:sz="0" w:space="0" w:color="auto"/>
      </w:divBdr>
    </w:div>
    <w:div w:id="1076050370">
      <w:bodyDiv w:val="1"/>
      <w:marLeft w:val="0"/>
      <w:marRight w:val="0"/>
      <w:marTop w:val="0"/>
      <w:marBottom w:val="0"/>
      <w:divBdr>
        <w:top w:val="none" w:sz="0" w:space="0" w:color="auto"/>
        <w:left w:val="none" w:sz="0" w:space="0" w:color="auto"/>
        <w:bottom w:val="none" w:sz="0" w:space="0" w:color="auto"/>
        <w:right w:val="none" w:sz="0" w:space="0" w:color="auto"/>
      </w:divBdr>
    </w:div>
    <w:div w:id="1078939919">
      <w:bodyDiv w:val="1"/>
      <w:marLeft w:val="0"/>
      <w:marRight w:val="0"/>
      <w:marTop w:val="0"/>
      <w:marBottom w:val="0"/>
      <w:divBdr>
        <w:top w:val="none" w:sz="0" w:space="0" w:color="auto"/>
        <w:left w:val="none" w:sz="0" w:space="0" w:color="auto"/>
        <w:bottom w:val="none" w:sz="0" w:space="0" w:color="auto"/>
        <w:right w:val="none" w:sz="0" w:space="0" w:color="auto"/>
      </w:divBdr>
    </w:div>
    <w:div w:id="1093741858">
      <w:bodyDiv w:val="1"/>
      <w:marLeft w:val="0"/>
      <w:marRight w:val="0"/>
      <w:marTop w:val="0"/>
      <w:marBottom w:val="0"/>
      <w:divBdr>
        <w:top w:val="none" w:sz="0" w:space="0" w:color="auto"/>
        <w:left w:val="none" w:sz="0" w:space="0" w:color="auto"/>
        <w:bottom w:val="none" w:sz="0" w:space="0" w:color="auto"/>
        <w:right w:val="none" w:sz="0" w:space="0" w:color="auto"/>
      </w:divBdr>
    </w:div>
    <w:div w:id="1108085283">
      <w:bodyDiv w:val="1"/>
      <w:marLeft w:val="0"/>
      <w:marRight w:val="0"/>
      <w:marTop w:val="0"/>
      <w:marBottom w:val="0"/>
      <w:divBdr>
        <w:top w:val="none" w:sz="0" w:space="0" w:color="auto"/>
        <w:left w:val="none" w:sz="0" w:space="0" w:color="auto"/>
        <w:bottom w:val="none" w:sz="0" w:space="0" w:color="auto"/>
        <w:right w:val="none" w:sz="0" w:space="0" w:color="auto"/>
      </w:divBdr>
    </w:div>
    <w:div w:id="1109010757">
      <w:bodyDiv w:val="1"/>
      <w:marLeft w:val="0"/>
      <w:marRight w:val="0"/>
      <w:marTop w:val="0"/>
      <w:marBottom w:val="0"/>
      <w:divBdr>
        <w:top w:val="none" w:sz="0" w:space="0" w:color="auto"/>
        <w:left w:val="none" w:sz="0" w:space="0" w:color="auto"/>
        <w:bottom w:val="none" w:sz="0" w:space="0" w:color="auto"/>
        <w:right w:val="none" w:sz="0" w:space="0" w:color="auto"/>
      </w:divBdr>
    </w:div>
    <w:div w:id="1114864440">
      <w:bodyDiv w:val="1"/>
      <w:marLeft w:val="0"/>
      <w:marRight w:val="0"/>
      <w:marTop w:val="0"/>
      <w:marBottom w:val="0"/>
      <w:divBdr>
        <w:top w:val="none" w:sz="0" w:space="0" w:color="auto"/>
        <w:left w:val="none" w:sz="0" w:space="0" w:color="auto"/>
        <w:bottom w:val="none" w:sz="0" w:space="0" w:color="auto"/>
        <w:right w:val="none" w:sz="0" w:space="0" w:color="auto"/>
      </w:divBdr>
    </w:div>
    <w:div w:id="1125388382">
      <w:bodyDiv w:val="1"/>
      <w:marLeft w:val="0"/>
      <w:marRight w:val="0"/>
      <w:marTop w:val="0"/>
      <w:marBottom w:val="0"/>
      <w:divBdr>
        <w:top w:val="none" w:sz="0" w:space="0" w:color="auto"/>
        <w:left w:val="none" w:sz="0" w:space="0" w:color="auto"/>
        <w:bottom w:val="none" w:sz="0" w:space="0" w:color="auto"/>
        <w:right w:val="none" w:sz="0" w:space="0" w:color="auto"/>
      </w:divBdr>
    </w:div>
    <w:div w:id="1138301726">
      <w:bodyDiv w:val="1"/>
      <w:marLeft w:val="0"/>
      <w:marRight w:val="0"/>
      <w:marTop w:val="0"/>
      <w:marBottom w:val="0"/>
      <w:divBdr>
        <w:top w:val="none" w:sz="0" w:space="0" w:color="auto"/>
        <w:left w:val="none" w:sz="0" w:space="0" w:color="auto"/>
        <w:bottom w:val="none" w:sz="0" w:space="0" w:color="auto"/>
        <w:right w:val="none" w:sz="0" w:space="0" w:color="auto"/>
      </w:divBdr>
    </w:div>
    <w:div w:id="1140461577">
      <w:bodyDiv w:val="1"/>
      <w:marLeft w:val="0"/>
      <w:marRight w:val="0"/>
      <w:marTop w:val="0"/>
      <w:marBottom w:val="0"/>
      <w:divBdr>
        <w:top w:val="none" w:sz="0" w:space="0" w:color="auto"/>
        <w:left w:val="none" w:sz="0" w:space="0" w:color="auto"/>
        <w:bottom w:val="none" w:sz="0" w:space="0" w:color="auto"/>
        <w:right w:val="none" w:sz="0" w:space="0" w:color="auto"/>
      </w:divBdr>
    </w:div>
    <w:div w:id="1140728078">
      <w:bodyDiv w:val="1"/>
      <w:marLeft w:val="0"/>
      <w:marRight w:val="0"/>
      <w:marTop w:val="0"/>
      <w:marBottom w:val="0"/>
      <w:divBdr>
        <w:top w:val="none" w:sz="0" w:space="0" w:color="auto"/>
        <w:left w:val="none" w:sz="0" w:space="0" w:color="auto"/>
        <w:bottom w:val="none" w:sz="0" w:space="0" w:color="auto"/>
        <w:right w:val="none" w:sz="0" w:space="0" w:color="auto"/>
      </w:divBdr>
    </w:div>
    <w:div w:id="1148280368">
      <w:bodyDiv w:val="1"/>
      <w:marLeft w:val="0"/>
      <w:marRight w:val="0"/>
      <w:marTop w:val="0"/>
      <w:marBottom w:val="0"/>
      <w:divBdr>
        <w:top w:val="none" w:sz="0" w:space="0" w:color="auto"/>
        <w:left w:val="none" w:sz="0" w:space="0" w:color="auto"/>
        <w:bottom w:val="none" w:sz="0" w:space="0" w:color="auto"/>
        <w:right w:val="none" w:sz="0" w:space="0" w:color="auto"/>
      </w:divBdr>
    </w:div>
    <w:div w:id="1171405144">
      <w:bodyDiv w:val="1"/>
      <w:marLeft w:val="0"/>
      <w:marRight w:val="0"/>
      <w:marTop w:val="0"/>
      <w:marBottom w:val="0"/>
      <w:divBdr>
        <w:top w:val="none" w:sz="0" w:space="0" w:color="auto"/>
        <w:left w:val="none" w:sz="0" w:space="0" w:color="auto"/>
        <w:bottom w:val="none" w:sz="0" w:space="0" w:color="auto"/>
        <w:right w:val="none" w:sz="0" w:space="0" w:color="auto"/>
      </w:divBdr>
    </w:div>
    <w:div w:id="1179469274">
      <w:bodyDiv w:val="1"/>
      <w:marLeft w:val="0"/>
      <w:marRight w:val="0"/>
      <w:marTop w:val="0"/>
      <w:marBottom w:val="0"/>
      <w:divBdr>
        <w:top w:val="none" w:sz="0" w:space="0" w:color="auto"/>
        <w:left w:val="none" w:sz="0" w:space="0" w:color="auto"/>
        <w:bottom w:val="none" w:sz="0" w:space="0" w:color="auto"/>
        <w:right w:val="none" w:sz="0" w:space="0" w:color="auto"/>
      </w:divBdr>
    </w:div>
    <w:div w:id="1202590465">
      <w:bodyDiv w:val="1"/>
      <w:marLeft w:val="0"/>
      <w:marRight w:val="0"/>
      <w:marTop w:val="0"/>
      <w:marBottom w:val="0"/>
      <w:divBdr>
        <w:top w:val="none" w:sz="0" w:space="0" w:color="auto"/>
        <w:left w:val="none" w:sz="0" w:space="0" w:color="auto"/>
        <w:bottom w:val="none" w:sz="0" w:space="0" w:color="auto"/>
        <w:right w:val="none" w:sz="0" w:space="0" w:color="auto"/>
      </w:divBdr>
    </w:div>
    <w:div w:id="1202671609">
      <w:bodyDiv w:val="1"/>
      <w:marLeft w:val="0"/>
      <w:marRight w:val="0"/>
      <w:marTop w:val="0"/>
      <w:marBottom w:val="0"/>
      <w:divBdr>
        <w:top w:val="none" w:sz="0" w:space="0" w:color="auto"/>
        <w:left w:val="none" w:sz="0" w:space="0" w:color="auto"/>
        <w:bottom w:val="none" w:sz="0" w:space="0" w:color="auto"/>
        <w:right w:val="none" w:sz="0" w:space="0" w:color="auto"/>
      </w:divBdr>
    </w:div>
    <w:div w:id="1206411232">
      <w:bodyDiv w:val="1"/>
      <w:marLeft w:val="0"/>
      <w:marRight w:val="0"/>
      <w:marTop w:val="0"/>
      <w:marBottom w:val="0"/>
      <w:divBdr>
        <w:top w:val="none" w:sz="0" w:space="0" w:color="auto"/>
        <w:left w:val="none" w:sz="0" w:space="0" w:color="auto"/>
        <w:bottom w:val="none" w:sz="0" w:space="0" w:color="auto"/>
        <w:right w:val="none" w:sz="0" w:space="0" w:color="auto"/>
      </w:divBdr>
    </w:div>
    <w:div w:id="1207986417">
      <w:bodyDiv w:val="1"/>
      <w:marLeft w:val="0"/>
      <w:marRight w:val="0"/>
      <w:marTop w:val="0"/>
      <w:marBottom w:val="0"/>
      <w:divBdr>
        <w:top w:val="none" w:sz="0" w:space="0" w:color="auto"/>
        <w:left w:val="none" w:sz="0" w:space="0" w:color="auto"/>
        <w:bottom w:val="none" w:sz="0" w:space="0" w:color="auto"/>
        <w:right w:val="none" w:sz="0" w:space="0" w:color="auto"/>
      </w:divBdr>
    </w:div>
    <w:div w:id="1214386920">
      <w:bodyDiv w:val="1"/>
      <w:marLeft w:val="0"/>
      <w:marRight w:val="0"/>
      <w:marTop w:val="0"/>
      <w:marBottom w:val="0"/>
      <w:divBdr>
        <w:top w:val="none" w:sz="0" w:space="0" w:color="auto"/>
        <w:left w:val="none" w:sz="0" w:space="0" w:color="auto"/>
        <w:bottom w:val="none" w:sz="0" w:space="0" w:color="auto"/>
        <w:right w:val="none" w:sz="0" w:space="0" w:color="auto"/>
      </w:divBdr>
    </w:div>
    <w:div w:id="1216283810">
      <w:bodyDiv w:val="1"/>
      <w:marLeft w:val="0"/>
      <w:marRight w:val="0"/>
      <w:marTop w:val="0"/>
      <w:marBottom w:val="0"/>
      <w:divBdr>
        <w:top w:val="none" w:sz="0" w:space="0" w:color="auto"/>
        <w:left w:val="none" w:sz="0" w:space="0" w:color="auto"/>
        <w:bottom w:val="none" w:sz="0" w:space="0" w:color="auto"/>
        <w:right w:val="none" w:sz="0" w:space="0" w:color="auto"/>
      </w:divBdr>
    </w:div>
    <w:div w:id="1272779776">
      <w:bodyDiv w:val="1"/>
      <w:marLeft w:val="0"/>
      <w:marRight w:val="0"/>
      <w:marTop w:val="0"/>
      <w:marBottom w:val="0"/>
      <w:divBdr>
        <w:top w:val="none" w:sz="0" w:space="0" w:color="auto"/>
        <w:left w:val="none" w:sz="0" w:space="0" w:color="auto"/>
        <w:bottom w:val="none" w:sz="0" w:space="0" w:color="auto"/>
        <w:right w:val="none" w:sz="0" w:space="0" w:color="auto"/>
      </w:divBdr>
    </w:div>
    <w:div w:id="1273322796">
      <w:bodyDiv w:val="1"/>
      <w:marLeft w:val="0"/>
      <w:marRight w:val="0"/>
      <w:marTop w:val="0"/>
      <w:marBottom w:val="0"/>
      <w:divBdr>
        <w:top w:val="none" w:sz="0" w:space="0" w:color="auto"/>
        <w:left w:val="none" w:sz="0" w:space="0" w:color="auto"/>
        <w:bottom w:val="none" w:sz="0" w:space="0" w:color="auto"/>
        <w:right w:val="none" w:sz="0" w:space="0" w:color="auto"/>
      </w:divBdr>
    </w:div>
    <w:div w:id="1284340463">
      <w:bodyDiv w:val="1"/>
      <w:marLeft w:val="0"/>
      <w:marRight w:val="0"/>
      <w:marTop w:val="0"/>
      <w:marBottom w:val="0"/>
      <w:divBdr>
        <w:top w:val="none" w:sz="0" w:space="0" w:color="auto"/>
        <w:left w:val="none" w:sz="0" w:space="0" w:color="auto"/>
        <w:bottom w:val="none" w:sz="0" w:space="0" w:color="auto"/>
        <w:right w:val="none" w:sz="0" w:space="0" w:color="auto"/>
      </w:divBdr>
    </w:div>
    <w:div w:id="1286346106">
      <w:bodyDiv w:val="1"/>
      <w:marLeft w:val="0"/>
      <w:marRight w:val="0"/>
      <w:marTop w:val="0"/>
      <w:marBottom w:val="0"/>
      <w:divBdr>
        <w:top w:val="none" w:sz="0" w:space="0" w:color="auto"/>
        <w:left w:val="none" w:sz="0" w:space="0" w:color="auto"/>
        <w:bottom w:val="none" w:sz="0" w:space="0" w:color="auto"/>
        <w:right w:val="none" w:sz="0" w:space="0" w:color="auto"/>
      </w:divBdr>
    </w:div>
    <w:div w:id="1287807438">
      <w:bodyDiv w:val="1"/>
      <w:marLeft w:val="0"/>
      <w:marRight w:val="0"/>
      <w:marTop w:val="0"/>
      <w:marBottom w:val="0"/>
      <w:divBdr>
        <w:top w:val="none" w:sz="0" w:space="0" w:color="auto"/>
        <w:left w:val="none" w:sz="0" w:space="0" w:color="auto"/>
        <w:bottom w:val="none" w:sz="0" w:space="0" w:color="auto"/>
        <w:right w:val="none" w:sz="0" w:space="0" w:color="auto"/>
      </w:divBdr>
    </w:div>
    <w:div w:id="1300648031">
      <w:bodyDiv w:val="1"/>
      <w:marLeft w:val="0"/>
      <w:marRight w:val="0"/>
      <w:marTop w:val="0"/>
      <w:marBottom w:val="0"/>
      <w:divBdr>
        <w:top w:val="none" w:sz="0" w:space="0" w:color="auto"/>
        <w:left w:val="none" w:sz="0" w:space="0" w:color="auto"/>
        <w:bottom w:val="none" w:sz="0" w:space="0" w:color="auto"/>
        <w:right w:val="none" w:sz="0" w:space="0" w:color="auto"/>
      </w:divBdr>
    </w:div>
    <w:div w:id="1314990217">
      <w:bodyDiv w:val="1"/>
      <w:marLeft w:val="0"/>
      <w:marRight w:val="0"/>
      <w:marTop w:val="0"/>
      <w:marBottom w:val="0"/>
      <w:divBdr>
        <w:top w:val="none" w:sz="0" w:space="0" w:color="auto"/>
        <w:left w:val="none" w:sz="0" w:space="0" w:color="auto"/>
        <w:bottom w:val="none" w:sz="0" w:space="0" w:color="auto"/>
        <w:right w:val="none" w:sz="0" w:space="0" w:color="auto"/>
      </w:divBdr>
    </w:div>
    <w:div w:id="1321076477">
      <w:bodyDiv w:val="1"/>
      <w:marLeft w:val="0"/>
      <w:marRight w:val="0"/>
      <w:marTop w:val="0"/>
      <w:marBottom w:val="0"/>
      <w:divBdr>
        <w:top w:val="none" w:sz="0" w:space="0" w:color="auto"/>
        <w:left w:val="none" w:sz="0" w:space="0" w:color="auto"/>
        <w:bottom w:val="none" w:sz="0" w:space="0" w:color="auto"/>
        <w:right w:val="none" w:sz="0" w:space="0" w:color="auto"/>
      </w:divBdr>
    </w:div>
    <w:div w:id="1323704918">
      <w:bodyDiv w:val="1"/>
      <w:marLeft w:val="0"/>
      <w:marRight w:val="0"/>
      <w:marTop w:val="0"/>
      <w:marBottom w:val="0"/>
      <w:divBdr>
        <w:top w:val="none" w:sz="0" w:space="0" w:color="auto"/>
        <w:left w:val="none" w:sz="0" w:space="0" w:color="auto"/>
        <w:bottom w:val="none" w:sz="0" w:space="0" w:color="auto"/>
        <w:right w:val="none" w:sz="0" w:space="0" w:color="auto"/>
      </w:divBdr>
    </w:div>
    <w:div w:id="1326590653">
      <w:bodyDiv w:val="1"/>
      <w:marLeft w:val="0"/>
      <w:marRight w:val="0"/>
      <w:marTop w:val="0"/>
      <w:marBottom w:val="0"/>
      <w:divBdr>
        <w:top w:val="none" w:sz="0" w:space="0" w:color="auto"/>
        <w:left w:val="none" w:sz="0" w:space="0" w:color="auto"/>
        <w:bottom w:val="none" w:sz="0" w:space="0" w:color="auto"/>
        <w:right w:val="none" w:sz="0" w:space="0" w:color="auto"/>
      </w:divBdr>
    </w:div>
    <w:div w:id="1332220539">
      <w:bodyDiv w:val="1"/>
      <w:marLeft w:val="0"/>
      <w:marRight w:val="0"/>
      <w:marTop w:val="0"/>
      <w:marBottom w:val="0"/>
      <w:divBdr>
        <w:top w:val="none" w:sz="0" w:space="0" w:color="auto"/>
        <w:left w:val="none" w:sz="0" w:space="0" w:color="auto"/>
        <w:bottom w:val="none" w:sz="0" w:space="0" w:color="auto"/>
        <w:right w:val="none" w:sz="0" w:space="0" w:color="auto"/>
      </w:divBdr>
    </w:div>
    <w:div w:id="1332299281">
      <w:bodyDiv w:val="1"/>
      <w:marLeft w:val="0"/>
      <w:marRight w:val="0"/>
      <w:marTop w:val="0"/>
      <w:marBottom w:val="0"/>
      <w:divBdr>
        <w:top w:val="none" w:sz="0" w:space="0" w:color="auto"/>
        <w:left w:val="none" w:sz="0" w:space="0" w:color="auto"/>
        <w:bottom w:val="none" w:sz="0" w:space="0" w:color="auto"/>
        <w:right w:val="none" w:sz="0" w:space="0" w:color="auto"/>
      </w:divBdr>
    </w:div>
    <w:div w:id="1333219764">
      <w:bodyDiv w:val="1"/>
      <w:marLeft w:val="0"/>
      <w:marRight w:val="0"/>
      <w:marTop w:val="0"/>
      <w:marBottom w:val="0"/>
      <w:divBdr>
        <w:top w:val="none" w:sz="0" w:space="0" w:color="auto"/>
        <w:left w:val="none" w:sz="0" w:space="0" w:color="auto"/>
        <w:bottom w:val="none" w:sz="0" w:space="0" w:color="auto"/>
        <w:right w:val="none" w:sz="0" w:space="0" w:color="auto"/>
      </w:divBdr>
    </w:div>
    <w:div w:id="1334526180">
      <w:bodyDiv w:val="1"/>
      <w:marLeft w:val="0"/>
      <w:marRight w:val="0"/>
      <w:marTop w:val="0"/>
      <w:marBottom w:val="0"/>
      <w:divBdr>
        <w:top w:val="none" w:sz="0" w:space="0" w:color="auto"/>
        <w:left w:val="none" w:sz="0" w:space="0" w:color="auto"/>
        <w:bottom w:val="none" w:sz="0" w:space="0" w:color="auto"/>
        <w:right w:val="none" w:sz="0" w:space="0" w:color="auto"/>
      </w:divBdr>
    </w:div>
    <w:div w:id="1338311283">
      <w:bodyDiv w:val="1"/>
      <w:marLeft w:val="0"/>
      <w:marRight w:val="0"/>
      <w:marTop w:val="0"/>
      <w:marBottom w:val="0"/>
      <w:divBdr>
        <w:top w:val="none" w:sz="0" w:space="0" w:color="auto"/>
        <w:left w:val="none" w:sz="0" w:space="0" w:color="auto"/>
        <w:bottom w:val="none" w:sz="0" w:space="0" w:color="auto"/>
        <w:right w:val="none" w:sz="0" w:space="0" w:color="auto"/>
      </w:divBdr>
    </w:div>
    <w:div w:id="1343780227">
      <w:bodyDiv w:val="1"/>
      <w:marLeft w:val="0"/>
      <w:marRight w:val="0"/>
      <w:marTop w:val="0"/>
      <w:marBottom w:val="0"/>
      <w:divBdr>
        <w:top w:val="none" w:sz="0" w:space="0" w:color="auto"/>
        <w:left w:val="none" w:sz="0" w:space="0" w:color="auto"/>
        <w:bottom w:val="none" w:sz="0" w:space="0" w:color="auto"/>
        <w:right w:val="none" w:sz="0" w:space="0" w:color="auto"/>
      </w:divBdr>
    </w:div>
    <w:div w:id="1356884573">
      <w:bodyDiv w:val="1"/>
      <w:marLeft w:val="0"/>
      <w:marRight w:val="0"/>
      <w:marTop w:val="0"/>
      <w:marBottom w:val="0"/>
      <w:divBdr>
        <w:top w:val="none" w:sz="0" w:space="0" w:color="auto"/>
        <w:left w:val="none" w:sz="0" w:space="0" w:color="auto"/>
        <w:bottom w:val="none" w:sz="0" w:space="0" w:color="auto"/>
        <w:right w:val="none" w:sz="0" w:space="0" w:color="auto"/>
      </w:divBdr>
    </w:div>
    <w:div w:id="1364087000">
      <w:bodyDiv w:val="1"/>
      <w:marLeft w:val="0"/>
      <w:marRight w:val="0"/>
      <w:marTop w:val="0"/>
      <w:marBottom w:val="0"/>
      <w:divBdr>
        <w:top w:val="none" w:sz="0" w:space="0" w:color="auto"/>
        <w:left w:val="none" w:sz="0" w:space="0" w:color="auto"/>
        <w:bottom w:val="none" w:sz="0" w:space="0" w:color="auto"/>
        <w:right w:val="none" w:sz="0" w:space="0" w:color="auto"/>
      </w:divBdr>
    </w:div>
    <w:div w:id="1378237190">
      <w:bodyDiv w:val="1"/>
      <w:marLeft w:val="0"/>
      <w:marRight w:val="0"/>
      <w:marTop w:val="0"/>
      <w:marBottom w:val="0"/>
      <w:divBdr>
        <w:top w:val="none" w:sz="0" w:space="0" w:color="auto"/>
        <w:left w:val="none" w:sz="0" w:space="0" w:color="auto"/>
        <w:bottom w:val="none" w:sz="0" w:space="0" w:color="auto"/>
        <w:right w:val="none" w:sz="0" w:space="0" w:color="auto"/>
      </w:divBdr>
    </w:div>
    <w:div w:id="1386565255">
      <w:bodyDiv w:val="1"/>
      <w:marLeft w:val="0"/>
      <w:marRight w:val="0"/>
      <w:marTop w:val="0"/>
      <w:marBottom w:val="0"/>
      <w:divBdr>
        <w:top w:val="none" w:sz="0" w:space="0" w:color="auto"/>
        <w:left w:val="none" w:sz="0" w:space="0" w:color="auto"/>
        <w:bottom w:val="none" w:sz="0" w:space="0" w:color="auto"/>
        <w:right w:val="none" w:sz="0" w:space="0" w:color="auto"/>
      </w:divBdr>
    </w:div>
    <w:div w:id="1408531003">
      <w:bodyDiv w:val="1"/>
      <w:marLeft w:val="0"/>
      <w:marRight w:val="0"/>
      <w:marTop w:val="0"/>
      <w:marBottom w:val="0"/>
      <w:divBdr>
        <w:top w:val="none" w:sz="0" w:space="0" w:color="auto"/>
        <w:left w:val="none" w:sz="0" w:space="0" w:color="auto"/>
        <w:bottom w:val="none" w:sz="0" w:space="0" w:color="auto"/>
        <w:right w:val="none" w:sz="0" w:space="0" w:color="auto"/>
      </w:divBdr>
    </w:div>
    <w:div w:id="1409111742">
      <w:bodyDiv w:val="1"/>
      <w:marLeft w:val="0"/>
      <w:marRight w:val="0"/>
      <w:marTop w:val="0"/>
      <w:marBottom w:val="0"/>
      <w:divBdr>
        <w:top w:val="none" w:sz="0" w:space="0" w:color="auto"/>
        <w:left w:val="none" w:sz="0" w:space="0" w:color="auto"/>
        <w:bottom w:val="none" w:sz="0" w:space="0" w:color="auto"/>
        <w:right w:val="none" w:sz="0" w:space="0" w:color="auto"/>
      </w:divBdr>
    </w:div>
    <w:div w:id="1411928306">
      <w:bodyDiv w:val="1"/>
      <w:marLeft w:val="0"/>
      <w:marRight w:val="0"/>
      <w:marTop w:val="0"/>
      <w:marBottom w:val="0"/>
      <w:divBdr>
        <w:top w:val="none" w:sz="0" w:space="0" w:color="auto"/>
        <w:left w:val="none" w:sz="0" w:space="0" w:color="auto"/>
        <w:bottom w:val="none" w:sz="0" w:space="0" w:color="auto"/>
        <w:right w:val="none" w:sz="0" w:space="0" w:color="auto"/>
      </w:divBdr>
    </w:div>
    <w:div w:id="1417554530">
      <w:bodyDiv w:val="1"/>
      <w:marLeft w:val="0"/>
      <w:marRight w:val="0"/>
      <w:marTop w:val="0"/>
      <w:marBottom w:val="0"/>
      <w:divBdr>
        <w:top w:val="none" w:sz="0" w:space="0" w:color="auto"/>
        <w:left w:val="none" w:sz="0" w:space="0" w:color="auto"/>
        <w:bottom w:val="none" w:sz="0" w:space="0" w:color="auto"/>
        <w:right w:val="none" w:sz="0" w:space="0" w:color="auto"/>
      </w:divBdr>
    </w:div>
    <w:div w:id="1417823902">
      <w:bodyDiv w:val="1"/>
      <w:marLeft w:val="0"/>
      <w:marRight w:val="0"/>
      <w:marTop w:val="0"/>
      <w:marBottom w:val="0"/>
      <w:divBdr>
        <w:top w:val="none" w:sz="0" w:space="0" w:color="auto"/>
        <w:left w:val="none" w:sz="0" w:space="0" w:color="auto"/>
        <w:bottom w:val="none" w:sz="0" w:space="0" w:color="auto"/>
        <w:right w:val="none" w:sz="0" w:space="0" w:color="auto"/>
      </w:divBdr>
    </w:div>
    <w:div w:id="1426465237">
      <w:bodyDiv w:val="1"/>
      <w:marLeft w:val="0"/>
      <w:marRight w:val="0"/>
      <w:marTop w:val="0"/>
      <w:marBottom w:val="0"/>
      <w:divBdr>
        <w:top w:val="none" w:sz="0" w:space="0" w:color="auto"/>
        <w:left w:val="none" w:sz="0" w:space="0" w:color="auto"/>
        <w:bottom w:val="none" w:sz="0" w:space="0" w:color="auto"/>
        <w:right w:val="none" w:sz="0" w:space="0" w:color="auto"/>
      </w:divBdr>
    </w:div>
    <w:div w:id="1457287175">
      <w:bodyDiv w:val="1"/>
      <w:marLeft w:val="0"/>
      <w:marRight w:val="0"/>
      <w:marTop w:val="0"/>
      <w:marBottom w:val="0"/>
      <w:divBdr>
        <w:top w:val="none" w:sz="0" w:space="0" w:color="auto"/>
        <w:left w:val="none" w:sz="0" w:space="0" w:color="auto"/>
        <w:bottom w:val="none" w:sz="0" w:space="0" w:color="auto"/>
        <w:right w:val="none" w:sz="0" w:space="0" w:color="auto"/>
      </w:divBdr>
    </w:div>
    <w:div w:id="1463841898">
      <w:bodyDiv w:val="1"/>
      <w:marLeft w:val="0"/>
      <w:marRight w:val="0"/>
      <w:marTop w:val="0"/>
      <w:marBottom w:val="0"/>
      <w:divBdr>
        <w:top w:val="none" w:sz="0" w:space="0" w:color="auto"/>
        <w:left w:val="none" w:sz="0" w:space="0" w:color="auto"/>
        <w:bottom w:val="none" w:sz="0" w:space="0" w:color="auto"/>
        <w:right w:val="none" w:sz="0" w:space="0" w:color="auto"/>
      </w:divBdr>
    </w:div>
    <w:div w:id="1475179684">
      <w:bodyDiv w:val="1"/>
      <w:marLeft w:val="0"/>
      <w:marRight w:val="0"/>
      <w:marTop w:val="0"/>
      <w:marBottom w:val="0"/>
      <w:divBdr>
        <w:top w:val="none" w:sz="0" w:space="0" w:color="auto"/>
        <w:left w:val="none" w:sz="0" w:space="0" w:color="auto"/>
        <w:bottom w:val="none" w:sz="0" w:space="0" w:color="auto"/>
        <w:right w:val="none" w:sz="0" w:space="0" w:color="auto"/>
      </w:divBdr>
    </w:div>
    <w:div w:id="1475373817">
      <w:bodyDiv w:val="1"/>
      <w:marLeft w:val="0"/>
      <w:marRight w:val="0"/>
      <w:marTop w:val="0"/>
      <w:marBottom w:val="0"/>
      <w:divBdr>
        <w:top w:val="none" w:sz="0" w:space="0" w:color="auto"/>
        <w:left w:val="none" w:sz="0" w:space="0" w:color="auto"/>
        <w:bottom w:val="none" w:sz="0" w:space="0" w:color="auto"/>
        <w:right w:val="none" w:sz="0" w:space="0" w:color="auto"/>
      </w:divBdr>
    </w:div>
    <w:div w:id="1482313778">
      <w:bodyDiv w:val="1"/>
      <w:marLeft w:val="0"/>
      <w:marRight w:val="0"/>
      <w:marTop w:val="0"/>
      <w:marBottom w:val="0"/>
      <w:divBdr>
        <w:top w:val="none" w:sz="0" w:space="0" w:color="auto"/>
        <w:left w:val="none" w:sz="0" w:space="0" w:color="auto"/>
        <w:bottom w:val="none" w:sz="0" w:space="0" w:color="auto"/>
        <w:right w:val="none" w:sz="0" w:space="0" w:color="auto"/>
      </w:divBdr>
    </w:div>
    <w:div w:id="1492209215">
      <w:bodyDiv w:val="1"/>
      <w:marLeft w:val="0"/>
      <w:marRight w:val="0"/>
      <w:marTop w:val="0"/>
      <w:marBottom w:val="0"/>
      <w:divBdr>
        <w:top w:val="none" w:sz="0" w:space="0" w:color="auto"/>
        <w:left w:val="none" w:sz="0" w:space="0" w:color="auto"/>
        <w:bottom w:val="none" w:sz="0" w:space="0" w:color="auto"/>
        <w:right w:val="none" w:sz="0" w:space="0" w:color="auto"/>
      </w:divBdr>
    </w:div>
    <w:div w:id="1500466155">
      <w:bodyDiv w:val="1"/>
      <w:marLeft w:val="0"/>
      <w:marRight w:val="0"/>
      <w:marTop w:val="0"/>
      <w:marBottom w:val="0"/>
      <w:divBdr>
        <w:top w:val="none" w:sz="0" w:space="0" w:color="auto"/>
        <w:left w:val="none" w:sz="0" w:space="0" w:color="auto"/>
        <w:bottom w:val="none" w:sz="0" w:space="0" w:color="auto"/>
        <w:right w:val="none" w:sz="0" w:space="0" w:color="auto"/>
      </w:divBdr>
    </w:div>
    <w:div w:id="1503623836">
      <w:bodyDiv w:val="1"/>
      <w:marLeft w:val="0"/>
      <w:marRight w:val="0"/>
      <w:marTop w:val="0"/>
      <w:marBottom w:val="0"/>
      <w:divBdr>
        <w:top w:val="none" w:sz="0" w:space="0" w:color="auto"/>
        <w:left w:val="none" w:sz="0" w:space="0" w:color="auto"/>
        <w:bottom w:val="none" w:sz="0" w:space="0" w:color="auto"/>
        <w:right w:val="none" w:sz="0" w:space="0" w:color="auto"/>
      </w:divBdr>
    </w:div>
    <w:div w:id="1516573839">
      <w:bodyDiv w:val="1"/>
      <w:marLeft w:val="0"/>
      <w:marRight w:val="0"/>
      <w:marTop w:val="0"/>
      <w:marBottom w:val="0"/>
      <w:divBdr>
        <w:top w:val="none" w:sz="0" w:space="0" w:color="auto"/>
        <w:left w:val="none" w:sz="0" w:space="0" w:color="auto"/>
        <w:bottom w:val="none" w:sz="0" w:space="0" w:color="auto"/>
        <w:right w:val="none" w:sz="0" w:space="0" w:color="auto"/>
      </w:divBdr>
    </w:div>
    <w:div w:id="1520702873">
      <w:bodyDiv w:val="1"/>
      <w:marLeft w:val="0"/>
      <w:marRight w:val="0"/>
      <w:marTop w:val="0"/>
      <w:marBottom w:val="0"/>
      <w:divBdr>
        <w:top w:val="none" w:sz="0" w:space="0" w:color="auto"/>
        <w:left w:val="none" w:sz="0" w:space="0" w:color="auto"/>
        <w:bottom w:val="none" w:sz="0" w:space="0" w:color="auto"/>
        <w:right w:val="none" w:sz="0" w:space="0" w:color="auto"/>
      </w:divBdr>
    </w:div>
    <w:div w:id="1521042427">
      <w:bodyDiv w:val="1"/>
      <w:marLeft w:val="0"/>
      <w:marRight w:val="0"/>
      <w:marTop w:val="0"/>
      <w:marBottom w:val="0"/>
      <w:divBdr>
        <w:top w:val="none" w:sz="0" w:space="0" w:color="auto"/>
        <w:left w:val="none" w:sz="0" w:space="0" w:color="auto"/>
        <w:bottom w:val="none" w:sz="0" w:space="0" w:color="auto"/>
        <w:right w:val="none" w:sz="0" w:space="0" w:color="auto"/>
      </w:divBdr>
    </w:div>
    <w:div w:id="1522469031">
      <w:bodyDiv w:val="1"/>
      <w:marLeft w:val="0"/>
      <w:marRight w:val="0"/>
      <w:marTop w:val="0"/>
      <w:marBottom w:val="0"/>
      <w:divBdr>
        <w:top w:val="none" w:sz="0" w:space="0" w:color="auto"/>
        <w:left w:val="none" w:sz="0" w:space="0" w:color="auto"/>
        <w:bottom w:val="none" w:sz="0" w:space="0" w:color="auto"/>
        <w:right w:val="none" w:sz="0" w:space="0" w:color="auto"/>
      </w:divBdr>
    </w:div>
    <w:div w:id="1541740453">
      <w:bodyDiv w:val="1"/>
      <w:marLeft w:val="0"/>
      <w:marRight w:val="0"/>
      <w:marTop w:val="0"/>
      <w:marBottom w:val="0"/>
      <w:divBdr>
        <w:top w:val="none" w:sz="0" w:space="0" w:color="auto"/>
        <w:left w:val="none" w:sz="0" w:space="0" w:color="auto"/>
        <w:bottom w:val="none" w:sz="0" w:space="0" w:color="auto"/>
        <w:right w:val="none" w:sz="0" w:space="0" w:color="auto"/>
      </w:divBdr>
    </w:div>
    <w:div w:id="1558708951">
      <w:bodyDiv w:val="1"/>
      <w:marLeft w:val="0"/>
      <w:marRight w:val="0"/>
      <w:marTop w:val="0"/>
      <w:marBottom w:val="0"/>
      <w:divBdr>
        <w:top w:val="none" w:sz="0" w:space="0" w:color="auto"/>
        <w:left w:val="none" w:sz="0" w:space="0" w:color="auto"/>
        <w:bottom w:val="none" w:sz="0" w:space="0" w:color="auto"/>
        <w:right w:val="none" w:sz="0" w:space="0" w:color="auto"/>
      </w:divBdr>
    </w:div>
    <w:div w:id="1568613217">
      <w:bodyDiv w:val="1"/>
      <w:marLeft w:val="0"/>
      <w:marRight w:val="0"/>
      <w:marTop w:val="0"/>
      <w:marBottom w:val="0"/>
      <w:divBdr>
        <w:top w:val="none" w:sz="0" w:space="0" w:color="auto"/>
        <w:left w:val="none" w:sz="0" w:space="0" w:color="auto"/>
        <w:bottom w:val="none" w:sz="0" w:space="0" w:color="auto"/>
        <w:right w:val="none" w:sz="0" w:space="0" w:color="auto"/>
      </w:divBdr>
    </w:div>
    <w:div w:id="1572809663">
      <w:bodyDiv w:val="1"/>
      <w:marLeft w:val="0"/>
      <w:marRight w:val="0"/>
      <w:marTop w:val="0"/>
      <w:marBottom w:val="0"/>
      <w:divBdr>
        <w:top w:val="none" w:sz="0" w:space="0" w:color="auto"/>
        <w:left w:val="none" w:sz="0" w:space="0" w:color="auto"/>
        <w:bottom w:val="none" w:sz="0" w:space="0" w:color="auto"/>
        <w:right w:val="none" w:sz="0" w:space="0" w:color="auto"/>
      </w:divBdr>
    </w:div>
    <w:div w:id="1576086812">
      <w:bodyDiv w:val="1"/>
      <w:marLeft w:val="0"/>
      <w:marRight w:val="0"/>
      <w:marTop w:val="0"/>
      <w:marBottom w:val="0"/>
      <w:divBdr>
        <w:top w:val="none" w:sz="0" w:space="0" w:color="auto"/>
        <w:left w:val="none" w:sz="0" w:space="0" w:color="auto"/>
        <w:bottom w:val="none" w:sz="0" w:space="0" w:color="auto"/>
        <w:right w:val="none" w:sz="0" w:space="0" w:color="auto"/>
      </w:divBdr>
    </w:div>
    <w:div w:id="1589997516">
      <w:bodyDiv w:val="1"/>
      <w:marLeft w:val="0"/>
      <w:marRight w:val="0"/>
      <w:marTop w:val="0"/>
      <w:marBottom w:val="0"/>
      <w:divBdr>
        <w:top w:val="none" w:sz="0" w:space="0" w:color="auto"/>
        <w:left w:val="none" w:sz="0" w:space="0" w:color="auto"/>
        <w:bottom w:val="none" w:sz="0" w:space="0" w:color="auto"/>
        <w:right w:val="none" w:sz="0" w:space="0" w:color="auto"/>
      </w:divBdr>
    </w:div>
    <w:div w:id="1606114457">
      <w:bodyDiv w:val="1"/>
      <w:marLeft w:val="0"/>
      <w:marRight w:val="0"/>
      <w:marTop w:val="0"/>
      <w:marBottom w:val="0"/>
      <w:divBdr>
        <w:top w:val="none" w:sz="0" w:space="0" w:color="auto"/>
        <w:left w:val="none" w:sz="0" w:space="0" w:color="auto"/>
        <w:bottom w:val="none" w:sz="0" w:space="0" w:color="auto"/>
        <w:right w:val="none" w:sz="0" w:space="0" w:color="auto"/>
      </w:divBdr>
    </w:div>
    <w:div w:id="1636061134">
      <w:bodyDiv w:val="1"/>
      <w:marLeft w:val="0"/>
      <w:marRight w:val="0"/>
      <w:marTop w:val="0"/>
      <w:marBottom w:val="0"/>
      <w:divBdr>
        <w:top w:val="none" w:sz="0" w:space="0" w:color="auto"/>
        <w:left w:val="none" w:sz="0" w:space="0" w:color="auto"/>
        <w:bottom w:val="none" w:sz="0" w:space="0" w:color="auto"/>
        <w:right w:val="none" w:sz="0" w:space="0" w:color="auto"/>
      </w:divBdr>
    </w:div>
    <w:div w:id="1645044021">
      <w:bodyDiv w:val="1"/>
      <w:marLeft w:val="0"/>
      <w:marRight w:val="0"/>
      <w:marTop w:val="0"/>
      <w:marBottom w:val="0"/>
      <w:divBdr>
        <w:top w:val="none" w:sz="0" w:space="0" w:color="auto"/>
        <w:left w:val="none" w:sz="0" w:space="0" w:color="auto"/>
        <w:bottom w:val="none" w:sz="0" w:space="0" w:color="auto"/>
        <w:right w:val="none" w:sz="0" w:space="0" w:color="auto"/>
      </w:divBdr>
    </w:div>
    <w:div w:id="1653366706">
      <w:bodyDiv w:val="1"/>
      <w:marLeft w:val="0"/>
      <w:marRight w:val="0"/>
      <w:marTop w:val="0"/>
      <w:marBottom w:val="0"/>
      <w:divBdr>
        <w:top w:val="none" w:sz="0" w:space="0" w:color="auto"/>
        <w:left w:val="none" w:sz="0" w:space="0" w:color="auto"/>
        <w:bottom w:val="none" w:sz="0" w:space="0" w:color="auto"/>
        <w:right w:val="none" w:sz="0" w:space="0" w:color="auto"/>
      </w:divBdr>
    </w:div>
    <w:div w:id="1659384832">
      <w:bodyDiv w:val="1"/>
      <w:marLeft w:val="0"/>
      <w:marRight w:val="0"/>
      <w:marTop w:val="0"/>
      <w:marBottom w:val="0"/>
      <w:divBdr>
        <w:top w:val="none" w:sz="0" w:space="0" w:color="auto"/>
        <w:left w:val="none" w:sz="0" w:space="0" w:color="auto"/>
        <w:bottom w:val="none" w:sz="0" w:space="0" w:color="auto"/>
        <w:right w:val="none" w:sz="0" w:space="0" w:color="auto"/>
      </w:divBdr>
    </w:div>
    <w:div w:id="1672105201">
      <w:bodyDiv w:val="1"/>
      <w:marLeft w:val="0"/>
      <w:marRight w:val="0"/>
      <w:marTop w:val="0"/>
      <w:marBottom w:val="0"/>
      <w:divBdr>
        <w:top w:val="none" w:sz="0" w:space="0" w:color="auto"/>
        <w:left w:val="none" w:sz="0" w:space="0" w:color="auto"/>
        <w:bottom w:val="none" w:sz="0" w:space="0" w:color="auto"/>
        <w:right w:val="none" w:sz="0" w:space="0" w:color="auto"/>
      </w:divBdr>
    </w:div>
    <w:div w:id="1674531972">
      <w:bodyDiv w:val="1"/>
      <w:marLeft w:val="0"/>
      <w:marRight w:val="0"/>
      <w:marTop w:val="0"/>
      <w:marBottom w:val="0"/>
      <w:divBdr>
        <w:top w:val="none" w:sz="0" w:space="0" w:color="auto"/>
        <w:left w:val="none" w:sz="0" w:space="0" w:color="auto"/>
        <w:bottom w:val="none" w:sz="0" w:space="0" w:color="auto"/>
        <w:right w:val="none" w:sz="0" w:space="0" w:color="auto"/>
      </w:divBdr>
    </w:div>
    <w:div w:id="1682118577">
      <w:bodyDiv w:val="1"/>
      <w:marLeft w:val="0"/>
      <w:marRight w:val="0"/>
      <w:marTop w:val="0"/>
      <w:marBottom w:val="0"/>
      <w:divBdr>
        <w:top w:val="none" w:sz="0" w:space="0" w:color="auto"/>
        <w:left w:val="none" w:sz="0" w:space="0" w:color="auto"/>
        <w:bottom w:val="none" w:sz="0" w:space="0" w:color="auto"/>
        <w:right w:val="none" w:sz="0" w:space="0" w:color="auto"/>
      </w:divBdr>
    </w:div>
    <w:div w:id="1696034165">
      <w:bodyDiv w:val="1"/>
      <w:marLeft w:val="0"/>
      <w:marRight w:val="0"/>
      <w:marTop w:val="0"/>
      <w:marBottom w:val="0"/>
      <w:divBdr>
        <w:top w:val="none" w:sz="0" w:space="0" w:color="auto"/>
        <w:left w:val="none" w:sz="0" w:space="0" w:color="auto"/>
        <w:bottom w:val="none" w:sz="0" w:space="0" w:color="auto"/>
        <w:right w:val="none" w:sz="0" w:space="0" w:color="auto"/>
      </w:divBdr>
    </w:div>
    <w:div w:id="1700811113">
      <w:bodyDiv w:val="1"/>
      <w:marLeft w:val="0"/>
      <w:marRight w:val="0"/>
      <w:marTop w:val="0"/>
      <w:marBottom w:val="0"/>
      <w:divBdr>
        <w:top w:val="none" w:sz="0" w:space="0" w:color="auto"/>
        <w:left w:val="none" w:sz="0" w:space="0" w:color="auto"/>
        <w:bottom w:val="none" w:sz="0" w:space="0" w:color="auto"/>
        <w:right w:val="none" w:sz="0" w:space="0" w:color="auto"/>
      </w:divBdr>
    </w:div>
    <w:div w:id="1708411511">
      <w:bodyDiv w:val="1"/>
      <w:marLeft w:val="0"/>
      <w:marRight w:val="0"/>
      <w:marTop w:val="0"/>
      <w:marBottom w:val="0"/>
      <w:divBdr>
        <w:top w:val="none" w:sz="0" w:space="0" w:color="auto"/>
        <w:left w:val="none" w:sz="0" w:space="0" w:color="auto"/>
        <w:bottom w:val="none" w:sz="0" w:space="0" w:color="auto"/>
        <w:right w:val="none" w:sz="0" w:space="0" w:color="auto"/>
      </w:divBdr>
    </w:div>
    <w:div w:id="1753234849">
      <w:bodyDiv w:val="1"/>
      <w:marLeft w:val="0"/>
      <w:marRight w:val="0"/>
      <w:marTop w:val="0"/>
      <w:marBottom w:val="0"/>
      <w:divBdr>
        <w:top w:val="none" w:sz="0" w:space="0" w:color="auto"/>
        <w:left w:val="none" w:sz="0" w:space="0" w:color="auto"/>
        <w:bottom w:val="none" w:sz="0" w:space="0" w:color="auto"/>
        <w:right w:val="none" w:sz="0" w:space="0" w:color="auto"/>
      </w:divBdr>
    </w:div>
    <w:div w:id="1754162868">
      <w:bodyDiv w:val="1"/>
      <w:marLeft w:val="0"/>
      <w:marRight w:val="0"/>
      <w:marTop w:val="0"/>
      <w:marBottom w:val="0"/>
      <w:divBdr>
        <w:top w:val="none" w:sz="0" w:space="0" w:color="auto"/>
        <w:left w:val="none" w:sz="0" w:space="0" w:color="auto"/>
        <w:bottom w:val="none" w:sz="0" w:space="0" w:color="auto"/>
        <w:right w:val="none" w:sz="0" w:space="0" w:color="auto"/>
      </w:divBdr>
    </w:div>
    <w:div w:id="1759709913">
      <w:bodyDiv w:val="1"/>
      <w:marLeft w:val="0"/>
      <w:marRight w:val="0"/>
      <w:marTop w:val="0"/>
      <w:marBottom w:val="0"/>
      <w:divBdr>
        <w:top w:val="none" w:sz="0" w:space="0" w:color="auto"/>
        <w:left w:val="none" w:sz="0" w:space="0" w:color="auto"/>
        <w:bottom w:val="none" w:sz="0" w:space="0" w:color="auto"/>
        <w:right w:val="none" w:sz="0" w:space="0" w:color="auto"/>
      </w:divBdr>
    </w:div>
    <w:div w:id="1765101997">
      <w:bodyDiv w:val="1"/>
      <w:marLeft w:val="0"/>
      <w:marRight w:val="0"/>
      <w:marTop w:val="0"/>
      <w:marBottom w:val="0"/>
      <w:divBdr>
        <w:top w:val="none" w:sz="0" w:space="0" w:color="auto"/>
        <w:left w:val="none" w:sz="0" w:space="0" w:color="auto"/>
        <w:bottom w:val="none" w:sz="0" w:space="0" w:color="auto"/>
        <w:right w:val="none" w:sz="0" w:space="0" w:color="auto"/>
      </w:divBdr>
    </w:div>
    <w:div w:id="1766418494">
      <w:bodyDiv w:val="1"/>
      <w:marLeft w:val="0"/>
      <w:marRight w:val="0"/>
      <w:marTop w:val="0"/>
      <w:marBottom w:val="0"/>
      <w:divBdr>
        <w:top w:val="none" w:sz="0" w:space="0" w:color="auto"/>
        <w:left w:val="none" w:sz="0" w:space="0" w:color="auto"/>
        <w:bottom w:val="none" w:sz="0" w:space="0" w:color="auto"/>
        <w:right w:val="none" w:sz="0" w:space="0" w:color="auto"/>
      </w:divBdr>
    </w:div>
    <w:div w:id="1774322080">
      <w:bodyDiv w:val="1"/>
      <w:marLeft w:val="0"/>
      <w:marRight w:val="0"/>
      <w:marTop w:val="0"/>
      <w:marBottom w:val="0"/>
      <w:divBdr>
        <w:top w:val="none" w:sz="0" w:space="0" w:color="auto"/>
        <w:left w:val="none" w:sz="0" w:space="0" w:color="auto"/>
        <w:bottom w:val="none" w:sz="0" w:space="0" w:color="auto"/>
        <w:right w:val="none" w:sz="0" w:space="0" w:color="auto"/>
      </w:divBdr>
    </w:div>
    <w:div w:id="1785806485">
      <w:bodyDiv w:val="1"/>
      <w:marLeft w:val="0"/>
      <w:marRight w:val="0"/>
      <w:marTop w:val="0"/>
      <w:marBottom w:val="0"/>
      <w:divBdr>
        <w:top w:val="none" w:sz="0" w:space="0" w:color="auto"/>
        <w:left w:val="none" w:sz="0" w:space="0" w:color="auto"/>
        <w:bottom w:val="none" w:sz="0" w:space="0" w:color="auto"/>
        <w:right w:val="none" w:sz="0" w:space="0" w:color="auto"/>
      </w:divBdr>
    </w:div>
    <w:div w:id="1801264833">
      <w:bodyDiv w:val="1"/>
      <w:marLeft w:val="0"/>
      <w:marRight w:val="0"/>
      <w:marTop w:val="0"/>
      <w:marBottom w:val="0"/>
      <w:divBdr>
        <w:top w:val="none" w:sz="0" w:space="0" w:color="auto"/>
        <w:left w:val="none" w:sz="0" w:space="0" w:color="auto"/>
        <w:bottom w:val="none" w:sz="0" w:space="0" w:color="auto"/>
        <w:right w:val="none" w:sz="0" w:space="0" w:color="auto"/>
      </w:divBdr>
    </w:div>
    <w:div w:id="1808089463">
      <w:bodyDiv w:val="1"/>
      <w:marLeft w:val="0"/>
      <w:marRight w:val="0"/>
      <w:marTop w:val="0"/>
      <w:marBottom w:val="0"/>
      <w:divBdr>
        <w:top w:val="none" w:sz="0" w:space="0" w:color="auto"/>
        <w:left w:val="none" w:sz="0" w:space="0" w:color="auto"/>
        <w:bottom w:val="none" w:sz="0" w:space="0" w:color="auto"/>
        <w:right w:val="none" w:sz="0" w:space="0" w:color="auto"/>
      </w:divBdr>
    </w:div>
    <w:div w:id="1812943763">
      <w:bodyDiv w:val="1"/>
      <w:marLeft w:val="0"/>
      <w:marRight w:val="0"/>
      <w:marTop w:val="0"/>
      <w:marBottom w:val="0"/>
      <w:divBdr>
        <w:top w:val="none" w:sz="0" w:space="0" w:color="auto"/>
        <w:left w:val="none" w:sz="0" w:space="0" w:color="auto"/>
        <w:bottom w:val="none" w:sz="0" w:space="0" w:color="auto"/>
        <w:right w:val="none" w:sz="0" w:space="0" w:color="auto"/>
      </w:divBdr>
    </w:div>
    <w:div w:id="1817260595">
      <w:bodyDiv w:val="1"/>
      <w:marLeft w:val="0"/>
      <w:marRight w:val="0"/>
      <w:marTop w:val="0"/>
      <w:marBottom w:val="0"/>
      <w:divBdr>
        <w:top w:val="none" w:sz="0" w:space="0" w:color="auto"/>
        <w:left w:val="none" w:sz="0" w:space="0" w:color="auto"/>
        <w:bottom w:val="none" w:sz="0" w:space="0" w:color="auto"/>
        <w:right w:val="none" w:sz="0" w:space="0" w:color="auto"/>
      </w:divBdr>
    </w:div>
    <w:div w:id="1829444094">
      <w:bodyDiv w:val="1"/>
      <w:marLeft w:val="0"/>
      <w:marRight w:val="0"/>
      <w:marTop w:val="0"/>
      <w:marBottom w:val="0"/>
      <w:divBdr>
        <w:top w:val="none" w:sz="0" w:space="0" w:color="auto"/>
        <w:left w:val="none" w:sz="0" w:space="0" w:color="auto"/>
        <w:bottom w:val="none" w:sz="0" w:space="0" w:color="auto"/>
        <w:right w:val="none" w:sz="0" w:space="0" w:color="auto"/>
      </w:divBdr>
    </w:div>
    <w:div w:id="1831212260">
      <w:bodyDiv w:val="1"/>
      <w:marLeft w:val="0"/>
      <w:marRight w:val="0"/>
      <w:marTop w:val="0"/>
      <w:marBottom w:val="0"/>
      <w:divBdr>
        <w:top w:val="none" w:sz="0" w:space="0" w:color="auto"/>
        <w:left w:val="none" w:sz="0" w:space="0" w:color="auto"/>
        <w:bottom w:val="none" w:sz="0" w:space="0" w:color="auto"/>
        <w:right w:val="none" w:sz="0" w:space="0" w:color="auto"/>
      </w:divBdr>
    </w:div>
    <w:div w:id="1831411054">
      <w:bodyDiv w:val="1"/>
      <w:marLeft w:val="0"/>
      <w:marRight w:val="0"/>
      <w:marTop w:val="0"/>
      <w:marBottom w:val="0"/>
      <w:divBdr>
        <w:top w:val="none" w:sz="0" w:space="0" w:color="auto"/>
        <w:left w:val="none" w:sz="0" w:space="0" w:color="auto"/>
        <w:bottom w:val="none" w:sz="0" w:space="0" w:color="auto"/>
        <w:right w:val="none" w:sz="0" w:space="0" w:color="auto"/>
      </w:divBdr>
    </w:div>
    <w:div w:id="1837724209">
      <w:bodyDiv w:val="1"/>
      <w:marLeft w:val="0"/>
      <w:marRight w:val="0"/>
      <w:marTop w:val="0"/>
      <w:marBottom w:val="0"/>
      <w:divBdr>
        <w:top w:val="none" w:sz="0" w:space="0" w:color="auto"/>
        <w:left w:val="none" w:sz="0" w:space="0" w:color="auto"/>
        <w:bottom w:val="none" w:sz="0" w:space="0" w:color="auto"/>
        <w:right w:val="none" w:sz="0" w:space="0" w:color="auto"/>
      </w:divBdr>
    </w:div>
    <w:div w:id="1847749832">
      <w:bodyDiv w:val="1"/>
      <w:marLeft w:val="0"/>
      <w:marRight w:val="0"/>
      <w:marTop w:val="0"/>
      <w:marBottom w:val="0"/>
      <w:divBdr>
        <w:top w:val="none" w:sz="0" w:space="0" w:color="auto"/>
        <w:left w:val="none" w:sz="0" w:space="0" w:color="auto"/>
        <w:bottom w:val="none" w:sz="0" w:space="0" w:color="auto"/>
        <w:right w:val="none" w:sz="0" w:space="0" w:color="auto"/>
      </w:divBdr>
    </w:div>
    <w:div w:id="1858538113">
      <w:bodyDiv w:val="1"/>
      <w:marLeft w:val="0"/>
      <w:marRight w:val="0"/>
      <w:marTop w:val="0"/>
      <w:marBottom w:val="0"/>
      <w:divBdr>
        <w:top w:val="none" w:sz="0" w:space="0" w:color="auto"/>
        <w:left w:val="none" w:sz="0" w:space="0" w:color="auto"/>
        <w:bottom w:val="none" w:sz="0" w:space="0" w:color="auto"/>
        <w:right w:val="none" w:sz="0" w:space="0" w:color="auto"/>
      </w:divBdr>
    </w:div>
    <w:div w:id="1869096891">
      <w:bodyDiv w:val="1"/>
      <w:marLeft w:val="0"/>
      <w:marRight w:val="0"/>
      <w:marTop w:val="0"/>
      <w:marBottom w:val="0"/>
      <w:divBdr>
        <w:top w:val="none" w:sz="0" w:space="0" w:color="auto"/>
        <w:left w:val="none" w:sz="0" w:space="0" w:color="auto"/>
        <w:bottom w:val="none" w:sz="0" w:space="0" w:color="auto"/>
        <w:right w:val="none" w:sz="0" w:space="0" w:color="auto"/>
      </w:divBdr>
    </w:div>
    <w:div w:id="1872300953">
      <w:bodyDiv w:val="1"/>
      <w:marLeft w:val="0"/>
      <w:marRight w:val="0"/>
      <w:marTop w:val="0"/>
      <w:marBottom w:val="0"/>
      <w:divBdr>
        <w:top w:val="none" w:sz="0" w:space="0" w:color="auto"/>
        <w:left w:val="none" w:sz="0" w:space="0" w:color="auto"/>
        <w:bottom w:val="none" w:sz="0" w:space="0" w:color="auto"/>
        <w:right w:val="none" w:sz="0" w:space="0" w:color="auto"/>
      </w:divBdr>
    </w:div>
    <w:div w:id="1906605138">
      <w:bodyDiv w:val="1"/>
      <w:marLeft w:val="0"/>
      <w:marRight w:val="0"/>
      <w:marTop w:val="0"/>
      <w:marBottom w:val="0"/>
      <w:divBdr>
        <w:top w:val="none" w:sz="0" w:space="0" w:color="auto"/>
        <w:left w:val="none" w:sz="0" w:space="0" w:color="auto"/>
        <w:bottom w:val="none" w:sz="0" w:space="0" w:color="auto"/>
        <w:right w:val="none" w:sz="0" w:space="0" w:color="auto"/>
      </w:divBdr>
    </w:div>
    <w:div w:id="1923028559">
      <w:bodyDiv w:val="1"/>
      <w:marLeft w:val="0"/>
      <w:marRight w:val="0"/>
      <w:marTop w:val="0"/>
      <w:marBottom w:val="0"/>
      <w:divBdr>
        <w:top w:val="none" w:sz="0" w:space="0" w:color="auto"/>
        <w:left w:val="none" w:sz="0" w:space="0" w:color="auto"/>
        <w:bottom w:val="none" w:sz="0" w:space="0" w:color="auto"/>
        <w:right w:val="none" w:sz="0" w:space="0" w:color="auto"/>
      </w:divBdr>
    </w:div>
    <w:div w:id="1929462664">
      <w:bodyDiv w:val="1"/>
      <w:marLeft w:val="0"/>
      <w:marRight w:val="0"/>
      <w:marTop w:val="0"/>
      <w:marBottom w:val="0"/>
      <w:divBdr>
        <w:top w:val="none" w:sz="0" w:space="0" w:color="auto"/>
        <w:left w:val="none" w:sz="0" w:space="0" w:color="auto"/>
        <w:bottom w:val="none" w:sz="0" w:space="0" w:color="auto"/>
        <w:right w:val="none" w:sz="0" w:space="0" w:color="auto"/>
      </w:divBdr>
    </w:div>
    <w:div w:id="1932859752">
      <w:bodyDiv w:val="1"/>
      <w:marLeft w:val="0"/>
      <w:marRight w:val="0"/>
      <w:marTop w:val="0"/>
      <w:marBottom w:val="0"/>
      <w:divBdr>
        <w:top w:val="none" w:sz="0" w:space="0" w:color="auto"/>
        <w:left w:val="none" w:sz="0" w:space="0" w:color="auto"/>
        <w:bottom w:val="none" w:sz="0" w:space="0" w:color="auto"/>
        <w:right w:val="none" w:sz="0" w:space="0" w:color="auto"/>
      </w:divBdr>
    </w:div>
    <w:div w:id="1933539180">
      <w:bodyDiv w:val="1"/>
      <w:marLeft w:val="0"/>
      <w:marRight w:val="0"/>
      <w:marTop w:val="0"/>
      <w:marBottom w:val="0"/>
      <w:divBdr>
        <w:top w:val="none" w:sz="0" w:space="0" w:color="auto"/>
        <w:left w:val="none" w:sz="0" w:space="0" w:color="auto"/>
        <w:bottom w:val="none" w:sz="0" w:space="0" w:color="auto"/>
        <w:right w:val="none" w:sz="0" w:space="0" w:color="auto"/>
      </w:divBdr>
    </w:div>
    <w:div w:id="1938976443">
      <w:bodyDiv w:val="1"/>
      <w:marLeft w:val="0"/>
      <w:marRight w:val="0"/>
      <w:marTop w:val="0"/>
      <w:marBottom w:val="0"/>
      <w:divBdr>
        <w:top w:val="none" w:sz="0" w:space="0" w:color="auto"/>
        <w:left w:val="none" w:sz="0" w:space="0" w:color="auto"/>
        <w:bottom w:val="none" w:sz="0" w:space="0" w:color="auto"/>
        <w:right w:val="none" w:sz="0" w:space="0" w:color="auto"/>
      </w:divBdr>
    </w:div>
    <w:div w:id="1942495799">
      <w:bodyDiv w:val="1"/>
      <w:marLeft w:val="0"/>
      <w:marRight w:val="0"/>
      <w:marTop w:val="0"/>
      <w:marBottom w:val="0"/>
      <w:divBdr>
        <w:top w:val="none" w:sz="0" w:space="0" w:color="auto"/>
        <w:left w:val="none" w:sz="0" w:space="0" w:color="auto"/>
        <w:bottom w:val="none" w:sz="0" w:space="0" w:color="auto"/>
        <w:right w:val="none" w:sz="0" w:space="0" w:color="auto"/>
      </w:divBdr>
    </w:div>
    <w:div w:id="1953902973">
      <w:bodyDiv w:val="1"/>
      <w:marLeft w:val="0"/>
      <w:marRight w:val="0"/>
      <w:marTop w:val="0"/>
      <w:marBottom w:val="0"/>
      <w:divBdr>
        <w:top w:val="none" w:sz="0" w:space="0" w:color="auto"/>
        <w:left w:val="none" w:sz="0" w:space="0" w:color="auto"/>
        <w:bottom w:val="none" w:sz="0" w:space="0" w:color="auto"/>
        <w:right w:val="none" w:sz="0" w:space="0" w:color="auto"/>
      </w:divBdr>
    </w:div>
    <w:div w:id="1966890167">
      <w:bodyDiv w:val="1"/>
      <w:marLeft w:val="0"/>
      <w:marRight w:val="0"/>
      <w:marTop w:val="0"/>
      <w:marBottom w:val="0"/>
      <w:divBdr>
        <w:top w:val="none" w:sz="0" w:space="0" w:color="auto"/>
        <w:left w:val="none" w:sz="0" w:space="0" w:color="auto"/>
        <w:bottom w:val="none" w:sz="0" w:space="0" w:color="auto"/>
        <w:right w:val="none" w:sz="0" w:space="0" w:color="auto"/>
      </w:divBdr>
    </w:div>
    <w:div w:id="1967270864">
      <w:bodyDiv w:val="1"/>
      <w:marLeft w:val="0"/>
      <w:marRight w:val="0"/>
      <w:marTop w:val="0"/>
      <w:marBottom w:val="0"/>
      <w:divBdr>
        <w:top w:val="none" w:sz="0" w:space="0" w:color="auto"/>
        <w:left w:val="none" w:sz="0" w:space="0" w:color="auto"/>
        <w:bottom w:val="none" w:sz="0" w:space="0" w:color="auto"/>
        <w:right w:val="none" w:sz="0" w:space="0" w:color="auto"/>
      </w:divBdr>
    </w:div>
    <w:div w:id="1979651104">
      <w:bodyDiv w:val="1"/>
      <w:marLeft w:val="0"/>
      <w:marRight w:val="0"/>
      <w:marTop w:val="0"/>
      <w:marBottom w:val="0"/>
      <w:divBdr>
        <w:top w:val="none" w:sz="0" w:space="0" w:color="auto"/>
        <w:left w:val="none" w:sz="0" w:space="0" w:color="auto"/>
        <w:bottom w:val="none" w:sz="0" w:space="0" w:color="auto"/>
        <w:right w:val="none" w:sz="0" w:space="0" w:color="auto"/>
      </w:divBdr>
    </w:div>
    <w:div w:id="1982155833">
      <w:bodyDiv w:val="1"/>
      <w:marLeft w:val="0"/>
      <w:marRight w:val="0"/>
      <w:marTop w:val="0"/>
      <w:marBottom w:val="0"/>
      <w:divBdr>
        <w:top w:val="none" w:sz="0" w:space="0" w:color="auto"/>
        <w:left w:val="none" w:sz="0" w:space="0" w:color="auto"/>
        <w:bottom w:val="none" w:sz="0" w:space="0" w:color="auto"/>
        <w:right w:val="none" w:sz="0" w:space="0" w:color="auto"/>
      </w:divBdr>
    </w:div>
    <w:div w:id="1985233435">
      <w:bodyDiv w:val="1"/>
      <w:marLeft w:val="0"/>
      <w:marRight w:val="0"/>
      <w:marTop w:val="0"/>
      <w:marBottom w:val="0"/>
      <w:divBdr>
        <w:top w:val="none" w:sz="0" w:space="0" w:color="auto"/>
        <w:left w:val="none" w:sz="0" w:space="0" w:color="auto"/>
        <w:bottom w:val="none" w:sz="0" w:space="0" w:color="auto"/>
        <w:right w:val="none" w:sz="0" w:space="0" w:color="auto"/>
      </w:divBdr>
    </w:div>
    <w:div w:id="1991782285">
      <w:bodyDiv w:val="1"/>
      <w:marLeft w:val="0"/>
      <w:marRight w:val="0"/>
      <w:marTop w:val="0"/>
      <w:marBottom w:val="0"/>
      <w:divBdr>
        <w:top w:val="none" w:sz="0" w:space="0" w:color="auto"/>
        <w:left w:val="none" w:sz="0" w:space="0" w:color="auto"/>
        <w:bottom w:val="none" w:sz="0" w:space="0" w:color="auto"/>
        <w:right w:val="none" w:sz="0" w:space="0" w:color="auto"/>
      </w:divBdr>
    </w:div>
    <w:div w:id="1992519868">
      <w:bodyDiv w:val="1"/>
      <w:marLeft w:val="0"/>
      <w:marRight w:val="0"/>
      <w:marTop w:val="0"/>
      <w:marBottom w:val="0"/>
      <w:divBdr>
        <w:top w:val="none" w:sz="0" w:space="0" w:color="auto"/>
        <w:left w:val="none" w:sz="0" w:space="0" w:color="auto"/>
        <w:bottom w:val="none" w:sz="0" w:space="0" w:color="auto"/>
        <w:right w:val="none" w:sz="0" w:space="0" w:color="auto"/>
      </w:divBdr>
    </w:div>
    <w:div w:id="1999915606">
      <w:bodyDiv w:val="1"/>
      <w:marLeft w:val="0"/>
      <w:marRight w:val="0"/>
      <w:marTop w:val="0"/>
      <w:marBottom w:val="0"/>
      <w:divBdr>
        <w:top w:val="none" w:sz="0" w:space="0" w:color="auto"/>
        <w:left w:val="none" w:sz="0" w:space="0" w:color="auto"/>
        <w:bottom w:val="none" w:sz="0" w:space="0" w:color="auto"/>
        <w:right w:val="none" w:sz="0" w:space="0" w:color="auto"/>
      </w:divBdr>
    </w:div>
    <w:div w:id="2000956466">
      <w:bodyDiv w:val="1"/>
      <w:marLeft w:val="0"/>
      <w:marRight w:val="0"/>
      <w:marTop w:val="0"/>
      <w:marBottom w:val="0"/>
      <w:divBdr>
        <w:top w:val="none" w:sz="0" w:space="0" w:color="auto"/>
        <w:left w:val="none" w:sz="0" w:space="0" w:color="auto"/>
        <w:bottom w:val="none" w:sz="0" w:space="0" w:color="auto"/>
        <w:right w:val="none" w:sz="0" w:space="0" w:color="auto"/>
      </w:divBdr>
    </w:div>
    <w:div w:id="2009022281">
      <w:bodyDiv w:val="1"/>
      <w:marLeft w:val="0"/>
      <w:marRight w:val="0"/>
      <w:marTop w:val="0"/>
      <w:marBottom w:val="0"/>
      <w:divBdr>
        <w:top w:val="none" w:sz="0" w:space="0" w:color="auto"/>
        <w:left w:val="none" w:sz="0" w:space="0" w:color="auto"/>
        <w:bottom w:val="none" w:sz="0" w:space="0" w:color="auto"/>
        <w:right w:val="none" w:sz="0" w:space="0" w:color="auto"/>
      </w:divBdr>
    </w:div>
    <w:div w:id="2013877366">
      <w:bodyDiv w:val="1"/>
      <w:marLeft w:val="0"/>
      <w:marRight w:val="0"/>
      <w:marTop w:val="0"/>
      <w:marBottom w:val="0"/>
      <w:divBdr>
        <w:top w:val="none" w:sz="0" w:space="0" w:color="auto"/>
        <w:left w:val="none" w:sz="0" w:space="0" w:color="auto"/>
        <w:bottom w:val="none" w:sz="0" w:space="0" w:color="auto"/>
        <w:right w:val="none" w:sz="0" w:space="0" w:color="auto"/>
      </w:divBdr>
    </w:div>
    <w:div w:id="2014526149">
      <w:bodyDiv w:val="1"/>
      <w:marLeft w:val="0"/>
      <w:marRight w:val="0"/>
      <w:marTop w:val="0"/>
      <w:marBottom w:val="0"/>
      <w:divBdr>
        <w:top w:val="none" w:sz="0" w:space="0" w:color="auto"/>
        <w:left w:val="none" w:sz="0" w:space="0" w:color="auto"/>
        <w:bottom w:val="none" w:sz="0" w:space="0" w:color="auto"/>
        <w:right w:val="none" w:sz="0" w:space="0" w:color="auto"/>
      </w:divBdr>
    </w:div>
    <w:div w:id="2021734689">
      <w:bodyDiv w:val="1"/>
      <w:marLeft w:val="0"/>
      <w:marRight w:val="0"/>
      <w:marTop w:val="0"/>
      <w:marBottom w:val="0"/>
      <w:divBdr>
        <w:top w:val="none" w:sz="0" w:space="0" w:color="auto"/>
        <w:left w:val="none" w:sz="0" w:space="0" w:color="auto"/>
        <w:bottom w:val="none" w:sz="0" w:space="0" w:color="auto"/>
        <w:right w:val="none" w:sz="0" w:space="0" w:color="auto"/>
      </w:divBdr>
    </w:div>
    <w:div w:id="2023390704">
      <w:bodyDiv w:val="1"/>
      <w:marLeft w:val="0"/>
      <w:marRight w:val="0"/>
      <w:marTop w:val="0"/>
      <w:marBottom w:val="0"/>
      <w:divBdr>
        <w:top w:val="none" w:sz="0" w:space="0" w:color="auto"/>
        <w:left w:val="none" w:sz="0" w:space="0" w:color="auto"/>
        <w:bottom w:val="none" w:sz="0" w:space="0" w:color="auto"/>
        <w:right w:val="none" w:sz="0" w:space="0" w:color="auto"/>
      </w:divBdr>
    </w:div>
    <w:div w:id="2030065889">
      <w:bodyDiv w:val="1"/>
      <w:marLeft w:val="0"/>
      <w:marRight w:val="0"/>
      <w:marTop w:val="0"/>
      <w:marBottom w:val="0"/>
      <w:divBdr>
        <w:top w:val="none" w:sz="0" w:space="0" w:color="auto"/>
        <w:left w:val="none" w:sz="0" w:space="0" w:color="auto"/>
        <w:bottom w:val="none" w:sz="0" w:space="0" w:color="auto"/>
        <w:right w:val="none" w:sz="0" w:space="0" w:color="auto"/>
      </w:divBdr>
    </w:div>
    <w:div w:id="2033066128">
      <w:bodyDiv w:val="1"/>
      <w:marLeft w:val="0"/>
      <w:marRight w:val="0"/>
      <w:marTop w:val="0"/>
      <w:marBottom w:val="0"/>
      <w:divBdr>
        <w:top w:val="none" w:sz="0" w:space="0" w:color="auto"/>
        <w:left w:val="none" w:sz="0" w:space="0" w:color="auto"/>
        <w:bottom w:val="none" w:sz="0" w:space="0" w:color="auto"/>
        <w:right w:val="none" w:sz="0" w:space="0" w:color="auto"/>
      </w:divBdr>
    </w:div>
    <w:div w:id="2040158695">
      <w:bodyDiv w:val="1"/>
      <w:marLeft w:val="0"/>
      <w:marRight w:val="0"/>
      <w:marTop w:val="0"/>
      <w:marBottom w:val="0"/>
      <w:divBdr>
        <w:top w:val="none" w:sz="0" w:space="0" w:color="auto"/>
        <w:left w:val="none" w:sz="0" w:space="0" w:color="auto"/>
        <w:bottom w:val="none" w:sz="0" w:space="0" w:color="auto"/>
        <w:right w:val="none" w:sz="0" w:space="0" w:color="auto"/>
      </w:divBdr>
    </w:div>
    <w:div w:id="2043163622">
      <w:bodyDiv w:val="1"/>
      <w:marLeft w:val="0"/>
      <w:marRight w:val="0"/>
      <w:marTop w:val="0"/>
      <w:marBottom w:val="0"/>
      <w:divBdr>
        <w:top w:val="none" w:sz="0" w:space="0" w:color="auto"/>
        <w:left w:val="none" w:sz="0" w:space="0" w:color="auto"/>
        <w:bottom w:val="none" w:sz="0" w:space="0" w:color="auto"/>
        <w:right w:val="none" w:sz="0" w:space="0" w:color="auto"/>
      </w:divBdr>
    </w:div>
    <w:div w:id="2044474060">
      <w:bodyDiv w:val="1"/>
      <w:marLeft w:val="0"/>
      <w:marRight w:val="0"/>
      <w:marTop w:val="0"/>
      <w:marBottom w:val="0"/>
      <w:divBdr>
        <w:top w:val="none" w:sz="0" w:space="0" w:color="auto"/>
        <w:left w:val="none" w:sz="0" w:space="0" w:color="auto"/>
        <w:bottom w:val="none" w:sz="0" w:space="0" w:color="auto"/>
        <w:right w:val="none" w:sz="0" w:space="0" w:color="auto"/>
      </w:divBdr>
    </w:div>
    <w:div w:id="2060474015">
      <w:bodyDiv w:val="1"/>
      <w:marLeft w:val="0"/>
      <w:marRight w:val="0"/>
      <w:marTop w:val="0"/>
      <w:marBottom w:val="0"/>
      <w:divBdr>
        <w:top w:val="none" w:sz="0" w:space="0" w:color="auto"/>
        <w:left w:val="none" w:sz="0" w:space="0" w:color="auto"/>
        <w:bottom w:val="none" w:sz="0" w:space="0" w:color="auto"/>
        <w:right w:val="none" w:sz="0" w:space="0" w:color="auto"/>
      </w:divBdr>
    </w:div>
    <w:div w:id="2061131939">
      <w:bodyDiv w:val="1"/>
      <w:marLeft w:val="0"/>
      <w:marRight w:val="0"/>
      <w:marTop w:val="0"/>
      <w:marBottom w:val="0"/>
      <w:divBdr>
        <w:top w:val="none" w:sz="0" w:space="0" w:color="auto"/>
        <w:left w:val="none" w:sz="0" w:space="0" w:color="auto"/>
        <w:bottom w:val="none" w:sz="0" w:space="0" w:color="auto"/>
        <w:right w:val="none" w:sz="0" w:space="0" w:color="auto"/>
      </w:divBdr>
    </w:div>
    <w:div w:id="2062359083">
      <w:bodyDiv w:val="1"/>
      <w:marLeft w:val="0"/>
      <w:marRight w:val="0"/>
      <w:marTop w:val="0"/>
      <w:marBottom w:val="0"/>
      <w:divBdr>
        <w:top w:val="none" w:sz="0" w:space="0" w:color="auto"/>
        <w:left w:val="none" w:sz="0" w:space="0" w:color="auto"/>
        <w:bottom w:val="none" w:sz="0" w:space="0" w:color="auto"/>
        <w:right w:val="none" w:sz="0" w:space="0" w:color="auto"/>
      </w:divBdr>
    </w:div>
    <w:div w:id="2064984940">
      <w:bodyDiv w:val="1"/>
      <w:marLeft w:val="0"/>
      <w:marRight w:val="0"/>
      <w:marTop w:val="0"/>
      <w:marBottom w:val="0"/>
      <w:divBdr>
        <w:top w:val="none" w:sz="0" w:space="0" w:color="auto"/>
        <w:left w:val="none" w:sz="0" w:space="0" w:color="auto"/>
        <w:bottom w:val="none" w:sz="0" w:space="0" w:color="auto"/>
        <w:right w:val="none" w:sz="0" w:space="0" w:color="auto"/>
      </w:divBdr>
    </w:div>
    <w:div w:id="2068844419">
      <w:bodyDiv w:val="1"/>
      <w:marLeft w:val="0"/>
      <w:marRight w:val="0"/>
      <w:marTop w:val="0"/>
      <w:marBottom w:val="0"/>
      <w:divBdr>
        <w:top w:val="none" w:sz="0" w:space="0" w:color="auto"/>
        <w:left w:val="none" w:sz="0" w:space="0" w:color="auto"/>
        <w:bottom w:val="none" w:sz="0" w:space="0" w:color="auto"/>
        <w:right w:val="none" w:sz="0" w:space="0" w:color="auto"/>
      </w:divBdr>
    </w:div>
    <w:div w:id="2081246879">
      <w:bodyDiv w:val="1"/>
      <w:marLeft w:val="0"/>
      <w:marRight w:val="0"/>
      <w:marTop w:val="0"/>
      <w:marBottom w:val="0"/>
      <w:divBdr>
        <w:top w:val="none" w:sz="0" w:space="0" w:color="auto"/>
        <w:left w:val="none" w:sz="0" w:space="0" w:color="auto"/>
        <w:bottom w:val="none" w:sz="0" w:space="0" w:color="auto"/>
        <w:right w:val="none" w:sz="0" w:space="0" w:color="auto"/>
      </w:divBdr>
    </w:div>
    <w:div w:id="2091459431">
      <w:bodyDiv w:val="1"/>
      <w:marLeft w:val="0"/>
      <w:marRight w:val="0"/>
      <w:marTop w:val="0"/>
      <w:marBottom w:val="0"/>
      <w:divBdr>
        <w:top w:val="none" w:sz="0" w:space="0" w:color="auto"/>
        <w:left w:val="none" w:sz="0" w:space="0" w:color="auto"/>
        <w:bottom w:val="none" w:sz="0" w:space="0" w:color="auto"/>
        <w:right w:val="none" w:sz="0" w:space="0" w:color="auto"/>
      </w:divBdr>
    </w:div>
    <w:div w:id="2094431845">
      <w:bodyDiv w:val="1"/>
      <w:marLeft w:val="0"/>
      <w:marRight w:val="0"/>
      <w:marTop w:val="0"/>
      <w:marBottom w:val="0"/>
      <w:divBdr>
        <w:top w:val="none" w:sz="0" w:space="0" w:color="auto"/>
        <w:left w:val="none" w:sz="0" w:space="0" w:color="auto"/>
        <w:bottom w:val="none" w:sz="0" w:space="0" w:color="auto"/>
        <w:right w:val="none" w:sz="0" w:space="0" w:color="auto"/>
      </w:divBdr>
    </w:div>
    <w:div w:id="2097432711">
      <w:bodyDiv w:val="1"/>
      <w:marLeft w:val="0"/>
      <w:marRight w:val="0"/>
      <w:marTop w:val="0"/>
      <w:marBottom w:val="0"/>
      <w:divBdr>
        <w:top w:val="none" w:sz="0" w:space="0" w:color="auto"/>
        <w:left w:val="none" w:sz="0" w:space="0" w:color="auto"/>
        <w:bottom w:val="none" w:sz="0" w:space="0" w:color="auto"/>
        <w:right w:val="none" w:sz="0" w:space="0" w:color="auto"/>
      </w:divBdr>
    </w:div>
    <w:div w:id="2101753060">
      <w:bodyDiv w:val="1"/>
      <w:marLeft w:val="0"/>
      <w:marRight w:val="0"/>
      <w:marTop w:val="0"/>
      <w:marBottom w:val="0"/>
      <w:divBdr>
        <w:top w:val="none" w:sz="0" w:space="0" w:color="auto"/>
        <w:left w:val="none" w:sz="0" w:space="0" w:color="auto"/>
        <w:bottom w:val="none" w:sz="0" w:space="0" w:color="auto"/>
        <w:right w:val="none" w:sz="0" w:space="0" w:color="auto"/>
      </w:divBdr>
    </w:div>
    <w:div w:id="2110273409">
      <w:bodyDiv w:val="1"/>
      <w:marLeft w:val="0"/>
      <w:marRight w:val="0"/>
      <w:marTop w:val="0"/>
      <w:marBottom w:val="0"/>
      <w:divBdr>
        <w:top w:val="none" w:sz="0" w:space="0" w:color="auto"/>
        <w:left w:val="none" w:sz="0" w:space="0" w:color="auto"/>
        <w:bottom w:val="none" w:sz="0" w:space="0" w:color="auto"/>
        <w:right w:val="none" w:sz="0" w:space="0" w:color="auto"/>
      </w:divBdr>
    </w:div>
    <w:div w:id="2119132539">
      <w:bodyDiv w:val="1"/>
      <w:marLeft w:val="0"/>
      <w:marRight w:val="0"/>
      <w:marTop w:val="0"/>
      <w:marBottom w:val="0"/>
      <w:divBdr>
        <w:top w:val="none" w:sz="0" w:space="0" w:color="auto"/>
        <w:left w:val="none" w:sz="0" w:space="0" w:color="auto"/>
        <w:bottom w:val="none" w:sz="0" w:space="0" w:color="auto"/>
        <w:right w:val="none" w:sz="0" w:space="0" w:color="auto"/>
      </w:divBdr>
    </w:div>
    <w:div w:id="2127774735">
      <w:bodyDiv w:val="1"/>
      <w:marLeft w:val="0"/>
      <w:marRight w:val="0"/>
      <w:marTop w:val="0"/>
      <w:marBottom w:val="0"/>
      <w:divBdr>
        <w:top w:val="none" w:sz="0" w:space="0" w:color="auto"/>
        <w:left w:val="none" w:sz="0" w:space="0" w:color="auto"/>
        <w:bottom w:val="none" w:sz="0" w:space="0" w:color="auto"/>
        <w:right w:val="none" w:sz="0" w:space="0" w:color="auto"/>
      </w:divBdr>
    </w:div>
    <w:div w:id="2129422946">
      <w:bodyDiv w:val="1"/>
      <w:marLeft w:val="0"/>
      <w:marRight w:val="0"/>
      <w:marTop w:val="0"/>
      <w:marBottom w:val="0"/>
      <w:divBdr>
        <w:top w:val="none" w:sz="0" w:space="0" w:color="auto"/>
        <w:left w:val="none" w:sz="0" w:space="0" w:color="auto"/>
        <w:bottom w:val="none" w:sz="0" w:space="0" w:color="auto"/>
        <w:right w:val="none" w:sz="0" w:space="0" w:color="auto"/>
      </w:divBdr>
    </w:div>
    <w:div w:id="213825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eers.b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oter" Target="footer3.xml"/><Relationship Id="rId10" Type="http://schemas.openxmlformats.org/officeDocument/2006/relationships/hyperlink" Target="https://reers.ba/o-nama/izvjestaji-o-radu/"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image" Target="media/image6.png"/><Relationship Id="rId22"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1D7770-55E9-48B9-BDB7-F0E09D86D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38</Pages>
  <Words>15658</Words>
  <Characters>89257</Characters>
  <Application>Microsoft Office Word</Application>
  <DocSecurity>0</DocSecurity>
  <Lines>743</Lines>
  <Paragraphs>209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104706</CharactersWithSpaces>
  <SharedDoc>false</SharedDoc>
  <HLinks>
    <vt:vector size="678" baseType="variant">
      <vt:variant>
        <vt:i4>1048629</vt:i4>
      </vt:variant>
      <vt:variant>
        <vt:i4>783</vt:i4>
      </vt:variant>
      <vt:variant>
        <vt:i4>0</vt:i4>
      </vt:variant>
      <vt:variant>
        <vt:i4>5</vt:i4>
      </vt:variant>
      <vt:variant>
        <vt:lpwstr/>
      </vt:variant>
      <vt:variant>
        <vt:lpwstr>_Toc230868149</vt:lpwstr>
      </vt:variant>
      <vt:variant>
        <vt:i4>1048629</vt:i4>
      </vt:variant>
      <vt:variant>
        <vt:i4>654</vt:i4>
      </vt:variant>
      <vt:variant>
        <vt:i4>0</vt:i4>
      </vt:variant>
      <vt:variant>
        <vt:i4>5</vt:i4>
      </vt:variant>
      <vt:variant>
        <vt:lpwstr/>
      </vt:variant>
      <vt:variant>
        <vt:lpwstr>_Toc230868149</vt:lpwstr>
      </vt:variant>
      <vt:variant>
        <vt:i4>1048629</vt:i4>
      </vt:variant>
      <vt:variant>
        <vt:i4>645</vt:i4>
      </vt:variant>
      <vt:variant>
        <vt:i4>0</vt:i4>
      </vt:variant>
      <vt:variant>
        <vt:i4>5</vt:i4>
      </vt:variant>
      <vt:variant>
        <vt:lpwstr/>
      </vt:variant>
      <vt:variant>
        <vt:lpwstr>_Toc230868149</vt:lpwstr>
      </vt:variant>
      <vt:variant>
        <vt:i4>1310780</vt:i4>
      </vt:variant>
      <vt:variant>
        <vt:i4>638</vt:i4>
      </vt:variant>
      <vt:variant>
        <vt:i4>0</vt:i4>
      </vt:variant>
      <vt:variant>
        <vt:i4>5</vt:i4>
      </vt:variant>
      <vt:variant>
        <vt:lpwstr/>
      </vt:variant>
      <vt:variant>
        <vt:lpwstr>_Toc414282425</vt:lpwstr>
      </vt:variant>
      <vt:variant>
        <vt:i4>1310780</vt:i4>
      </vt:variant>
      <vt:variant>
        <vt:i4>632</vt:i4>
      </vt:variant>
      <vt:variant>
        <vt:i4>0</vt:i4>
      </vt:variant>
      <vt:variant>
        <vt:i4>5</vt:i4>
      </vt:variant>
      <vt:variant>
        <vt:lpwstr/>
      </vt:variant>
      <vt:variant>
        <vt:lpwstr>_Toc414282424</vt:lpwstr>
      </vt:variant>
      <vt:variant>
        <vt:i4>1310780</vt:i4>
      </vt:variant>
      <vt:variant>
        <vt:i4>626</vt:i4>
      </vt:variant>
      <vt:variant>
        <vt:i4>0</vt:i4>
      </vt:variant>
      <vt:variant>
        <vt:i4>5</vt:i4>
      </vt:variant>
      <vt:variant>
        <vt:lpwstr/>
      </vt:variant>
      <vt:variant>
        <vt:lpwstr>_Toc414282423</vt:lpwstr>
      </vt:variant>
      <vt:variant>
        <vt:i4>1310780</vt:i4>
      </vt:variant>
      <vt:variant>
        <vt:i4>620</vt:i4>
      </vt:variant>
      <vt:variant>
        <vt:i4>0</vt:i4>
      </vt:variant>
      <vt:variant>
        <vt:i4>5</vt:i4>
      </vt:variant>
      <vt:variant>
        <vt:lpwstr/>
      </vt:variant>
      <vt:variant>
        <vt:lpwstr>_Toc414282422</vt:lpwstr>
      </vt:variant>
      <vt:variant>
        <vt:i4>1310780</vt:i4>
      </vt:variant>
      <vt:variant>
        <vt:i4>614</vt:i4>
      </vt:variant>
      <vt:variant>
        <vt:i4>0</vt:i4>
      </vt:variant>
      <vt:variant>
        <vt:i4>5</vt:i4>
      </vt:variant>
      <vt:variant>
        <vt:lpwstr/>
      </vt:variant>
      <vt:variant>
        <vt:lpwstr>_Toc414282421</vt:lpwstr>
      </vt:variant>
      <vt:variant>
        <vt:i4>1310780</vt:i4>
      </vt:variant>
      <vt:variant>
        <vt:i4>608</vt:i4>
      </vt:variant>
      <vt:variant>
        <vt:i4>0</vt:i4>
      </vt:variant>
      <vt:variant>
        <vt:i4>5</vt:i4>
      </vt:variant>
      <vt:variant>
        <vt:lpwstr/>
      </vt:variant>
      <vt:variant>
        <vt:lpwstr>_Toc414282420</vt:lpwstr>
      </vt:variant>
      <vt:variant>
        <vt:i4>1507388</vt:i4>
      </vt:variant>
      <vt:variant>
        <vt:i4>602</vt:i4>
      </vt:variant>
      <vt:variant>
        <vt:i4>0</vt:i4>
      </vt:variant>
      <vt:variant>
        <vt:i4>5</vt:i4>
      </vt:variant>
      <vt:variant>
        <vt:lpwstr/>
      </vt:variant>
      <vt:variant>
        <vt:lpwstr>_Toc414282419</vt:lpwstr>
      </vt:variant>
      <vt:variant>
        <vt:i4>1507388</vt:i4>
      </vt:variant>
      <vt:variant>
        <vt:i4>596</vt:i4>
      </vt:variant>
      <vt:variant>
        <vt:i4>0</vt:i4>
      </vt:variant>
      <vt:variant>
        <vt:i4>5</vt:i4>
      </vt:variant>
      <vt:variant>
        <vt:lpwstr/>
      </vt:variant>
      <vt:variant>
        <vt:lpwstr>_Toc414282418</vt:lpwstr>
      </vt:variant>
      <vt:variant>
        <vt:i4>1507388</vt:i4>
      </vt:variant>
      <vt:variant>
        <vt:i4>590</vt:i4>
      </vt:variant>
      <vt:variant>
        <vt:i4>0</vt:i4>
      </vt:variant>
      <vt:variant>
        <vt:i4>5</vt:i4>
      </vt:variant>
      <vt:variant>
        <vt:lpwstr/>
      </vt:variant>
      <vt:variant>
        <vt:lpwstr>_Toc414282417</vt:lpwstr>
      </vt:variant>
      <vt:variant>
        <vt:i4>1507388</vt:i4>
      </vt:variant>
      <vt:variant>
        <vt:i4>584</vt:i4>
      </vt:variant>
      <vt:variant>
        <vt:i4>0</vt:i4>
      </vt:variant>
      <vt:variant>
        <vt:i4>5</vt:i4>
      </vt:variant>
      <vt:variant>
        <vt:lpwstr/>
      </vt:variant>
      <vt:variant>
        <vt:lpwstr>_Toc414282416</vt:lpwstr>
      </vt:variant>
      <vt:variant>
        <vt:i4>1507388</vt:i4>
      </vt:variant>
      <vt:variant>
        <vt:i4>578</vt:i4>
      </vt:variant>
      <vt:variant>
        <vt:i4>0</vt:i4>
      </vt:variant>
      <vt:variant>
        <vt:i4>5</vt:i4>
      </vt:variant>
      <vt:variant>
        <vt:lpwstr/>
      </vt:variant>
      <vt:variant>
        <vt:lpwstr>_Toc414282415</vt:lpwstr>
      </vt:variant>
      <vt:variant>
        <vt:i4>1507388</vt:i4>
      </vt:variant>
      <vt:variant>
        <vt:i4>572</vt:i4>
      </vt:variant>
      <vt:variant>
        <vt:i4>0</vt:i4>
      </vt:variant>
      <vt:variant>
        <vt:i4>5</vt:i4>
      </vt:variant>
      <vt:variant>
        <vt:lpwstr/>
      </vt:variant>
      <vt:variant>
        <vt:lpwstr>_Toc414282414</vt:lpwstr>
      </vt:variant>
      <vt:variant>
        <vt:i4>1507388</vt:i4>
      </vt:variant>
      <vt:variant>
        <vt:i4>566</vt:i4>
      </vt:variant>
      <vt:variant>
        <vt:i4>0</vt:i4>
      </vt:variant>
      <vt:variant>
        <vt:i4>5</vt:i4>
      </vt:variant>
      <vt:variant>
        <vt:lpwstr/>
      </vt:variant>
      <vt:variant>
        <vt:lpwstr>_Toc414282413</vt:lpwstr>
      </vt:variant>
      <vt:variant>
        <vt:i4>1507388</vt:i4>
      </vt:variant>
      <vt:variant>
        <vt:i4>560</vt:i4>
      </vt:variant>
      <vt:variant>
        <vt:i4>0</vt:i4>
      </vt:variant>
      <vt:variant>
        <vt:i4>5</vt:i4>
      </vt:variant>
      <vt:variant>
        <vt:lpwstr/>
      </vt:variant>
      <vt:variant>
        <vt:lpwstr>_Toc414282412</vt:lpwstr>
      </vt:variant>
      <vt:variant>
        <vt:i4>1507388</vt:i4>
      </vt:variant>
      <vt:variant>
        <vt:i4>554</vt:i4>
      </vt:variant>
      <vt:variant>
        <vt:i4>0</vt:i4>
      </vt:variant>
      <vt:variant>
        <vt:i4>5</vt:i4>
      </vt:variant>
      <vt:variant>
        <vt:lpwstr/>
      </vt:variant>
      <vt:variant>
        <vt:lpwstr>_Toc414282411</vt:lpwstr>
      </vt:variant>
      <vt:variant>
        <vt:i4>1507388</vt:i4>
      </vt:variant>
      <vt:variant>
        <vt:i4>548</vt:i4>
      </vt:variant>
      <vt:variant>
        <vt:i4>0</vt:i4>
      </vt:variant>
      <vt:variant>
        <vt:i4>5</vt:i4>
      </vt:variant>
      <vt:variant>
        <vt:lpwstr/>
      </vt:variant>
      <vt:variant>
        <vt:lpwstr>_Toc414282410</vt:lpwstr>
      </vt:variant>
      <vt:variant>
        <vt:i4>1441852</vt:i4>
      </vt:variant>
      <vt:variant>
        <vt:i4>542</vt:i4>
      </vt:variant>
      <vt:variant>
        <vt:i4>0</vt:i4>
      </vt:variant>
      <vt:variant>
        <vt:i4>5</vt:i4>
      </vt:variant>
      <vt:variant>
        <vt:lpwstr/>
      </vt:variant>
      <vt:variant>
        <vt:lpwstr>_Toc414282409</vt:lpwstr>
      </vt:variant>
      <vt:variant>
        <vt:i4>1441852</vt:i4>
      </vt:variant>
      <vt:variant>
        <vt:i4>536</vt:i4>
      </vt:variant>
      <vt:variant>
        <vt:i4>0</vt:i4>
      </vt:variant>
      <vt:variant>
        <vt:i4>5</vt:i4>
      </vt:variant>
      <vt:variant>
        <vt:lpwstr/>
      </vt:variant>
      <vt:variant>
        <vt:lpwstr>_Toc414282408</vt:lpwstr>
      </vt:variant>
      <vt:variant>
        <vt:i4>1441852</vt:i4>
      </vt:variant>
      <vt:variant>
        <vt:i4>530</vt:i4>
      </vt:variant>
      <vt:variant>
        <vt:i4>0</vt:i4>
      </vt:variant>
      <vt:variant>
        <vt:i4>5</vt:i4>
      </vt:variant>
      <vt:variant>
        <vt:lpwstr/>
      </vt:variant>
      <vt:variant>
        <vt:lpwstr>_Toc414282407</vt:lpwstr>
      </vt:variant>
      <vt:variant>
        <vt:i4>1441852</vt:i4>
      </vt:variant>
      <vt:variant>
        <vt:i4>524</vt:i4>
      </vt:variant>
      <vt:variant>
        <vt:i4>0</vt:i4>
      </vt:variant>
      <vt:variant>
        <vt:i4>5</vt:i4>
      </vt:variant>
      <vt:variant>
        <vt:lpwstr/>
      </vt:variant>
      <vt:variant>
        <vt:lpwstr>_Toc414282406</vt:lpwstr>
      </vt:variant>
      <vt:variant>
        <vt:i4>1441852</vt:i4>
      </vt:variant>
      <vt:variant>
        <vt:i4>518</vt:i4>
      </vt:variant>
      <vt:variant>
        <vt:i4>0</vt:i4>
      </vt:variant>
      <vt:variant>
        <vt:i4>5</vt:i4>
      </vt:variant>
      <vt:variant>
        <vt:lpwstr/>
      </vt:variant>
      <vt:variant>
        <vt:lpwstr>_Toc414282405</vt:lpwstr>
      </vt:variant>
      <vt:variant>
        <vt:i4>1441852</vt:i4>
      </vt:variant>
      <vt:variant>
        <vt:i4>512</vt:i4>
      </vt:variant>
      <vt:variant>
        <vt:i4>0</vt:i4>
      </vt:variant>
      <vt:variant>
        <vt:i4>5</vt:i4>
      </vt:variant>
      <vt:variant>
        <vt:lpwstr/>
      </vt:variant>
      <vt:variant>
        <vt:lpwstr>_Toc414282404</vt:lpwstr>
      </vt:variant>
      <vt:variant>
        <vt:i4>1441852</vt:i4>
      </vt:variant>
      <vt:variant>
        <vt:i4>506</vt:i4>
      </vt:variant>
      <vt:variant>
        <vt:i4>0</vt:i4>
      </vt:variant>
      <vt:variant>
        <vt:i4>5</vt:i4>
      </vt:variant>
      <vt:variant>
        <vt:lpwstr/>
      </vt:variant>
      <vt:variant>
        <vt:lpwstr>_Toc414282403</vt:lpwstr>
      </vt:variant>
      <vt:variant>
        <vt:i4>1441852</vt:i4>
      </vt:variant>
      <vt:variant>
        <vt:i4>500</vt:i4>
      </vt:variant>
      <vt:variant>
        <vt:i4>0</vt:i4>
      </vt:variant>
      <vt:variant>
        <vt:i4>5</vt:i4>
      </vt:variant>
      <vt:variant>
        <vt:lpwstr/>
      </vt:variant>
      <vt:variant>
        <vt:lpwstr>_Toc414282402</vt:lpwstr>
      </vt:variant>
      <vt:variant>
        <vt:i4>1441852</vt:i4>
      </vt:variant>
      <vt:variant>
        <vt:i4>494</vt:i4>
      </vt:variant>
      <vt:variant>
        <vt:i4>0</vt:i4>
      </vt:variant>
      <vt:variant>
        <vt:i4>5</vt:i4>
      </vt:variant>
      <vt:variant>
        <vt:lpwstr/>
      </vt:variant>
      <vt:variant>
        <vt:lpwstr>_Toc414282401</vt:lpwstr>
      </vt:variant>
      <vt:variant>
        <vt:i4>1441852</vt:i4>
      </vt:variant>
      <vt:variant>
        <vt:i4>488</vt:i4>
      </vt:variant>
      <vt:variant>
        <vt:i4>0</vt:i4>
      </vt:variant>
      <vt:variant>
        <vt:i4>5</vt:i4>
      </vt:variant>
      <vt:variant>
        <vt:lpwstr/>
      </vt:variant>
      <vt:variant>
        <vt:lpwstr>_Toc414282400</vt:lpwstr>
      </vt:variant>
      <vt:variant>
        <vt:i4>2031675</vt:i4>
      </vt:variant>
      <vt:variant>
        <vt:i4>482</vt:i4>
      </vt:variant>
      <vt:variant>
        <vt:i4>0</vt:i4>
      </vt:variant>
      <vt:variant>
        <vt:i4>5</vt:i4>
      </vt:variant>
      <vt:variant>
        <vt:lpwstr/>
      </vt:variant>
      <vt:variant>
        <vt:lpwstr>_Toc414282399</vt:lpwstr>
      </vt:variant>
      <vt:variant>
        <vt:i4>2031675</vt:i4>
      </vt:variant>
      <vt:variant>
        <vt:i4>476</vt:i4>
      </vt:variant>
      <vt:variant>
        <vt:i4>0</vt:i4>
      </vt:variant>
      <vt:variant>
        <vt:i4>5</vt:i4>
      </vt:variant>
      <vt:variant>
        <vt:lpwstr/>
      </vt:variant>
      <vt:variant>
        <vt:lpwstr>_Toc414282398</vt:lpwstr>
      </vt:variant>
      <vt:variant>
        <vt:i4>2031675</vt:i4>
      </vt:variant>
      <vt:variant>
        <vt:i4>470</vt:i4>
      </vt:variant>
      <vt:variant>
        <vt:i4>0</vt:i4>
      </vt:variant>
      <vt:variant>
        <vt:i4>5</vt:i4>
      </vt:variant>
      <vt:variant>
        <vt:lpwstr/>
      </vt:variant>
      <vt:variant>
        <vt:lpwstr>_Toc414282396</vt:lpwstr>
      </vt:variant>
      <vt:variant>
        <vt:i4>2031675</vt:i4>
      </vt:variant>
      <vt:variant>
        <vt:i4>464</vt:i4>
      </vt:variant>
      <vt:variant>
        <vt:i4>0</vt:i4>
      </vt:variant>
      <vt:variant>
        <vt:i4>5</vt:i4>
      </vt:variant>
      <vt:variant>
        <vt:lpwstr/>
      </vt:variant>
      <vt:variant>
        <vt:lpwstr>_Toc414282395</vt:lpwstr>
      </vt:variant>
      <vt:variant>
        <vt:i4>2031675</vt:i4>
      </vt:variant>
      <vt:variant>
        <vt:i4>458</vt:i4>
      </vt:variant>
      <vt:variant>
        <vt:i4>0</vt:i4>
      </vt:variant>
      <vt:variant>
        <vt:i4>5</vt:i4>
      </vt:variant>
      <vt:variant>
        <vt:lpwstr/>
      </vt:variant>
      <vt:variant>
        <vt:lpwstr>_Toc414282394</vt:lpwstr>
      </vt:variant>
      <vt:variant>
        <vt:i4>2031675</vt:i4>
      </vt:variant>
      <vt:variant>
        <vt:i4>452</vt:i4>
      </vt:variant>
      <vt:variant>
        <vt:i4>0</vt:i4>
      </vt:variant>
      <vt:variant>
        <vt:i4>5</vt:i4>
      </vt:variant>
      <vt:variant>
        <vt:lpwstr/>
      </vt:variant>
      <vt:variant>
        <vt:lpwstr>_Toc414282393</vt:lpwstr>
      </vt:variant>
      <vt:variant>
        <vt:i4>2031675</vt:i4>
      </vt:variant>
      <vt:variant>
        <vt:i4>446</vt:i4>
      </vt:variant>
      <vt:variant>
        <vt:i4>0</vt:i4>
      </vt:variant>
      <vt:variant>
        <vt:i4>5</vt:i4>
      </vt:variant>
      <vt:variant>
        <vt:lpwstr/>
      </vt:variant>
      <vt:variant>
        <vt:lpwstr>_Toc414282392</vt:lpwstr>
      </vt:variant>
      <vt:variant>
        <vt:i4>2031675</vt:i4>
      </vt:variant>
      <vt:variant>
        <vt:i4>440</vt:i4>
      </vt:variant>
      <vt:variant>
        <vt:i4>0</vt:i4>
      </vt:variant>
      <vt:variant>
        <vt:i4>5</vt:i4>
      </vt:variant>
      <vt:variant>
        <vt:lpwstr/>
      </vt:variant>
      <vt:variant>
        <vt:lpwstr>_Toc414282391</vt:lpwstr>
      </vt:variant>
      <vt:variant>
        <vt:i4>2031675</vt:i4>
      </vt:variant>
      <vt:variant>
        <vt:i4>434</vt:i4>
      </vt:variant>
      <vt:variant>
        <vt:i4>0</vt:i4>
      </vt:variant>
      <vt:variant>
        <vt:i4>5</vt:i4>
      </vt:variant>
      <vt:variant>
        <vt:lpwstr/>
      </vt:variant>
      <vt:variant>
        <vt:lpwstr>_Toc414282390</vt:lpwstr>
      </vt:variant>
      <vt:variant>
        <vt:i4>1966139</vt:i4>
      </vt:variant>
      <vt:variant>
        <vt:i4>428</vt:i4>
      </vt:variant>
      <vt:variant>
        <vt:i4>0</vt:i4>
      </vt:variant>
      <vt:variant>
        <vt:i4>5</vt:i4>
      </vt:variant>
      <vt:variant>
        <vt:lpwstr/>
      </vt:variant>
      <vt:variant>
        <vt:lpwstr>_Toc414282389</vt:lpwstr>
      </vt:variant>
      <vt:variant>
        <vt:i4>1966139</vt:i4>
      </vt:variant>
      <vt:variant>
        <vt:i4>422</vt:i4>
      </vt:variant>
      <vt:variant>
        <vt:i4>0</vt:i4>
      </vt:variant>
      <vt:variant>
        <vt:i4>5</vt:i4>
      </vt:variant>
      <vt:variant>
        <vt:lpwstr/>
      </vt:variant>
      <vt:variant>
        <vt:lpwstr>_Toc414282388</vt:lpwstr>
      </vt:variant>
      <vt:variant>
        <vt:i4>1966139</vt:i4>
      </vt:variant>
      <vt:variant>
        <vt:i4>416</vt:i4>
      </vt:variant>
      <vt:variant>
        <vt:i4>0</vt:i4>
      </vt:variant>
      <vt:variant>
        <vt:i4>5</vt:i4>
      </vt:variant>
      <vt:variant>
        <vt:lpwstr/>
      </vt:variant>
      <vt:variant>
        <vt:lpwstr>_Toc414282387</vt:lpwstr>
      </vt:variant>
      <vt:variant>
        <vt:i4>1966139</vt:i4>
      </vt:variant>
      <vt:variant>
        <vt:i4>410</vt:i4>
      </vt:variant>
      <vt:variant>
        <vt:i4>0</vt:i4>
      </vt:variant>
      <vt:variant>
        <vt:i4>5</vt:i4>
      </vt:variant>
      <vt:variant>
        <vt:lpwstr/>
      </vt:variant>
      <vt:variant>
        <vt:lpwstr>_Toc414282386</vt:lpwstr>
      </vt:variant>
      <vt:variant>
        <vt:i4>1966139</vt:i4>
      </vt:variant>
      <vt:variant>
        <vt:i4>404</vt:i4>
      </vt:variant>
      <vt:variant>
        <vt:i4>0</vt:i4>
      </vt:variant>
      <vt:variant>
        <vt:i4>5</vt:i4>
      </vt:variant>
      <vt:variant>
        <vt:lpwstr/>
      </vt:variant>
      <vt:variant>
        <vt:lpwstr>_Toc414282385</vt:lpwstr>
      </vt:variant>
      <vt:variant>
        <vt:i4>1966139</vt:i4>
      </vt:variant>
      <vt:variant>
        <vt:i4>398</vt:i4>
      </vt:variant>
      <vt:variant>
        <vt:i4>0</vt:i4>
      </vt:variant>
      <vt:variant>
        <vt:i4>5</vt:i4>
      </vt:variant>
      <vt:variant>
        <vt:lpwstr/>
      </vt:variant>
      <vt:variant>
        <vt:lpwstr>_Toc414282384</vt:lpwstr>
      </vt:variant>
      <vt:variant>
        <vt:i4>1966139</vt:i4>
      </vt:variant>
      <vt:variant>
        <vt:i4>392</vt:i4>
      </vt:variant>
      <vt:variant>
        <vt:i4>0</vt:i4>
      </vt:variant>
      <vt:variant>
        <vt:i4>5</vt:i4>
      </vt:variant>
      <vt:variant>
        <vt:lpwstr/>
      </vt:variant>
      <vt:variant>
        <vt:lpwstr>_Toc414282383</vt:lpwstr>
      </vt:variant>
      <vt:variant>
        <vt:i4>1966139</vt:i4>
      </vt:variant>
      <vt:variant>
        <vt:i4>386</vt:i4>
      </vt:variant>
      <vt:variant>
        <vt:i4>0</vt:i4>
      </vt:variant>
      <vt:variant>
        <vt:i4>5</vt:i4>
      </vt:variant>
      <vt:variant>
        <vt:lpwstr/>
      </vt:variant>
      <vt:variant>
        <vt:lpwstr>_Toc414282382</vt:lpwstr>
      </vt:variant>
      <vt:variant>
        <vt:i4>1966139</vt:i4>
      </vt:variant>
      <vt:variant>
        <vt:i4>380</vt:i4>
      </vt:variant>
      <vt:variant>
        <vt:i4>0</vt:i4>
      </vt:variant>
      <vt:variant>
        <vt:i4>5</vt:i4>
      </vt:variant>
      <vt:variant>
        <vt:lpwstr/>
      </vt:variant>
      <vt:variant>
        <vt:lpwstr>_Toc414282381</vt:lpwstr>
      </vt:variant>
      <vt:variant>
        <vt:i4>1966139</vt:i4>
      </vt:variant>
      <vt:variant>
        <vt:i4>374</vt:i4>
      </vt:variant>
      <vt:variant>
        <vt:i4>0</vt:i4>
      </vt:variant>
      <vt:variant>
        <vt:i4>5</vt:i4>
      </vt:variant>
      <vt:variant>
        <vt:lpwstr/>
      </vt:variant>
      <vt:variant>
        <vt:lpwstr>_Toc414282380</vt:lpwstr>
      </vt:variant>
      <vt:variant>
        <vt:i4>1114171</vt:i4>
      </vt:variant>
      <vt:variant>
        <vt:i4>368</vt:i4>
      </vt:variant>
      <vt:variant>
        <vt:i4>0</vt:i4>
      </vt:variant>
      <vt:variant>
        <vt:i4>5</vt:i4>
      </vt:variant>
      <vt:variant>
        <vt:lpwstr/>
      </vt:variant>
      <vt:variant>
        <vt:lpwstr>_Toc414282379</vt:lpwstr>
      </vt:variant>
      <vt:variant>
        <vt:i4>1114171</vt:i4>
      </vt:variant>
      <vt:variant>
        <vt:i4>362</vt:i4>
      </vt:variant>
      <vt:variant>
        <vt:i4>0</vt:i4>
      </vt:variant>
      <vt:variant>
        <vt:i4>5</vt:i4>
      </vt:variant>
      <vt:variant>
        <vt:lpwstr/>
      </vt:variant>
      <vt:variant>
        <vt:lpwstr>_Toc414282378</vt:lpwstr>
      </vt:variant>
      <vt:variant>
        <vt:i4>1114171</vt:i4>
      </vt:variant>
      <vt:variant>
        <vt:i4>356</vt:i4>
      </vt:variant>
      <vt:variant>
        <vt:i4>0</vt:i4>
      </vt:variant>
      <vt:variant>
        <vt:i4>5</vt:i4>
      </vt:variant>
      <vt:variant>
        <vt:lpwstr/>
      </vt:variant>
      <vt:variant>
        <vt:lpwstr>_Toc414282377</vt:lpwstr>
      </vt:variant>
      <vt:variant>
        <vt:i4>1114171</vt:i4>
      </vt:variant>
      <vt:variant>
        <vt:i4>350</vt:i4>
      </vt:variant>
      <vt:variant>
        <vt:i4>0</vt:i4>
      </vt:variant>
      <vt:variant>
        <vt:i4>5</vt:i4>
      </vt:variant>
      <vt:variant>
        <vt:lpwstr/>
      </vt:variant>
      <vt:variant>
        <vt:lpwstr>_Toc414282376</vt:lpwstr>
      </vt:variant>
      <vt:variant>
        <vt:i4>1114171</vt:i4>
      </vt:variant>
      <vt:variant>
        <vt:i4>344</vt:i4>
      </vt:variant>
      <vt:variant>
        <vt:i4>0</vt:i4>
      </vt:variant>
      <vt:variant>
        <vt:i4>5</vt:i4>
      </vt:variant>
      <vt:variant>
        <vt:lpwstr/>
      </vt:variant>
      <vt:variant>
        <vt:lpwstr>_Toc414282375</vt:lpwstr>
      </vt:variant>
      <vt:variant>
        <vt:i4>1114171</vt:i4>
      </vt:variant>
      <vt:variant>
        <vt:i4>338</vt:i4>
      </vt:variant>
      <vt:variant>
        <vt:i4>0</vt:i4>
      </vt:variant>
      <vt:variant>
        <vt:i4>5</vt:i4>
      </vt:variant>
      <vt:variant>
        <vt:lpwstr/>
      </vt:variant>
      <vt:variant>
        <vt:lpwstr>_Toc414282374</vt:lpwstr>
      </vt:variant>
      <vt:variant>
        <vt:i4>1114171</vt:i4>
      </vt:variant>
      <vt:variant>
        <vt:i4>332</vt:i4>
      </vt:variant>
      <vt:variant>
        <vt:i4>0</vt:i4>
      </vt:variant>
      <vt:variant>
        <vt:i4>5</vt:i4>
      </vt:variant>
      <vt:variant>
        <vt:lpwstr/>
      </vt:variant>
      <vt:variant>
        <vt:lpwstr>_Toc414282373</vt:lpwstr>
      </vt:variant>
      <vt:variant>
        <vt:i4>1114171</vt:i4>
      </vt:variant>
      <vt:variant>
        <vt:i4>326</vt:i4>
      </vt:variant>
      <vt:variant>
        <vt:i4>0</vt:i4>
      </vt:variant>
      <vt:variant>
        <vt:i4>5</vt:i4>
      </vt:variant>
      <vt:variant>
        <vt:lpwstr/>
      </vt:variant>
      <vt:variant>
        <vt:lpwstr>_Toc414282372</vt:lpwstr>
      </vt:variant>
      <vt:variant>
        <vt:i4>1114171</vt:i4>
      </vt:variant>
      <vt:variant>
        <vt:i4>320</vt:i4>
      </vt:variant>
      <vt:variant>
        <vt:i4>0</vt:i4>
      </vt:variant>
      <vt:variant>
        <vt:i4>5</vt:i4>
      </vt:variant>
      <vt:variant>
        <vt:lpwstr/>
      </vt:variant>
      <vt:variant>
        <vt:lpwstr>_Toc414282371</vt:lpwstr>
      </vt:variant>
      <vt:variant>
        <vt:i4>1114171</vt:i4>
      </vt:variant>
      <vt:variant>
        <vt:i4>314</vt:i4>
      </vt:variant>
      <vt:variant>
        <vt:i4>0</vt:i4>
      </vt:variant>
      <vt:variant>
        <vt:i4>5</vt:i4>
      </vt:variant>
      <vt:variant>
        <vt:lpwstr/>
      </vt:variant>
      <vt:variant>
        <vt:lpwstr>_Toc414282370</vt:lpwstr>
      </vt:variant>
      <vt:variant>
        <vt:i4>1048635</vt:i4>
      </vt:variant>
      <vt:variant>
        <vt:i4>308</vt:i4>
      </vt:variant>
      <vt:variant>
        <vt:i4>0</vt:i4>
      </vt:variant>
      <vt:variant>
        <vt:i4>5</vt:i4>
      </vt:variant>
      <vt:variant>
        <vt:lpwstr/>
      </vt:variant>
      <vt:variant>
        <vt:lpwstr>_Toc414282369</vt:lpwstr>
      </vt:variant>
      <vt:variant>
        <vt:i4>1048635</vt:i4>
      </vt:variant>
      <vt:variant>
        <vt:i4>302</vt:i4>
      </vt:variant>
      <vt:variant>
        <vt:i4>0</vt:i4>
      </vt:variant>
      <vt:variant>
        <vt:i4>5</vt:i4>
      </vt:variant>
      <vt:variant>
        <vt:lpwstr/>
      </vt:variant>
      <vt:variant>
        <vt:lpwstr>_Toc414282368</vt:lpwstr>
      </vt:variant>
      <vt:variant>
        <vt:i4>1048635</vt:i4>
      </vt:variant>
      <vt:variant>
        <vt:i4>296</vt:i4>
      </vt:variant>
      <vt:variant>
        <vt:i4>0</vt:i4>
      </vt:variant>
      <vt:variant>
        <vt:i4>5</vt:i4>
      </vt:variant>
      <vt:variant>
        <vt:lpwstr/>
      </vt:variant>
      <vt:variant>
        <vt:lpwstr>_Toc414282367</vt:lpwstr>
      </vt:variant>
      <vt:variant>
        <vt:i4>1048635</vt:i4>
      </vt:variant>
      <vt:variant>
        <vt:i4>290</vt:i4>
      </vt:variant>
      <vt:variant>
        <vt:i4>0</vt:i4>
      </vt:variant>
      <vt:variant>
        <vt:i4>5</vt:i4>
      </vt:variant>
      <vt:variant>
        <vt:lpwstr/>
      </vt:variant>
      <vt:variant>
        <vt:lpwstr>_Toc414282366</vt:lpwstr>
      </vt:variant>
      <vt:variant>
        <vt:i4>1048635</vt:i4>
      </vt:variant>
      <vt:variant>
        <vt:i4>284</vt:i4>
      </vt:variant>
      <vt:variant>
        <vt:i4>0</vt:i4>
      </vt:variant>
      <vt:variant>
        <vt:i4>5</vt:i4>
      </vt:variant>
      <vt:variant>
        <vt:lpwstr/>
      </vt:variant>
      <vt:variant>
        <vt:lpwstr>_Toc414282365</vt:lpwstr>
      </vt:variant>
      <vt:variant>
        <vt:i4>1048635</vt:i4>
      </vt:variant>
      <vt:variant>
        <vt:i4>278</vt:i4>
      </vt:variant>
      <vt:variant>
        <vt:i4>0</vt:i4>
      </vt:variant>
      <vt:variant>
        <vt:i4>5</vt:i4>
      </vt:variant>
      <vt:variant>
        <vt:lpwstr/>
      </vt:variant>
      <vt:variant>
        <vt:lpwstr>_Toc414282364</vt:lpwstr>
      </vt:variant>
      <vt:variant>
        <vt:i4>1048635</vt:i4>
      </vt:variant>
      <vt:variant>
        <vt:i4>272</vt:i4>
      </vt:variant>
      <vt:variant>
        <vt:i4>0</vt:i4>
      </vt:variant>
      <vt:variant>
        <vt:i4>5</vt:i4>
      </vt:variant>
      <vt:variant>
        <vt:lpwstr/>
      </vt:variant>
      <vt:variant>
        <vt:lpwstr>_Toc414282363</vt:lpwstr>
      </vt:variant>
      <vt:variant>
        <vt:i4>1048635</vt:i4>
      </vt:variant>
      <vt:variant>
        <vt:i4>266</vt:i4>
      </vt:variant>
      <vt:variant>
        <vt:i4>0</vt:i4>
      </vt:variant>
      <vt:variant>
        <vt:i4>5</vt:i4>
      </vt:variant>
      <vt:variant>
        <vt:lpwstr/>
      </vt:variant>
      <vt:variant>
        <vt:lpwstr>_Toc414282362</vt:lpwstr>
      </vt:variant>
      <vt:variant>
        <vt:i4>1048635</vt:i4>
      </vt:variant>
      <vt:variant>
        <vt:i4>260</vt:i4>
      </vt:variant>
      <vt:variant>
        <vt:i4>0</vt:i4>
      </vt:variant>
      <vt:variant>
        <vt:i4>5</vt:i4>
      </vt:variant>
      <vt:variant>
        <vt:lpwstr/>
      </vt:variant>
      <vt:variant>
        <vt:lpwstr>_Toc414282361</vt:lpwstr>
      </vt:variant>
      <vt:variant>
        <vt:i4>1048635</vt:i4>
      </vt:variant>
      <vt:variant>
        <vt:i4>254</vt:i4>
      </vt:variant>
      <vt:variant>
        <vt:i4>0</vt:i4>
      </vt:variant>
      <vt:variant>
        <vt:i4>5</vt:i4>
      </vt:variant>
      <vt:variant>
        <vt:lpwstr/>
      </vt:variant>
      <vt:variant>
        <vt:lpwstr>_Toc414282360</vt:lpwstr>
      </vt:variant>
      <vt:variant>
        <vt:i4>1245243</vt:i4>
      </vt:variant>
      <vt:variant>
        <vt:i4>248</vt:i4>
      </vt:variant>
      <vt:variant>
        <vt:i4>0</vt:i4>
      </vt:variant>
      <vt:variant>
        <vt:i4>5</vt:i4>
      </vt:variant>
      <vt:variant>
        <vt:lpwstr/>
      </vt:variant>
      <vt:variant>
        <vt:lpwstr>_Toc414282359</vt:lpwstr>
      </vt:variant>
      <vt:variant>
        <vt:i4>1245243</vt:i4>
      </vt:variant>
      <vt:variant>
        <vt:i4>242</vt:i4>
      </vt:variant>
      <vt:variant>
        <vt:i4>0</vt:i4>
      </vt:variant>
      <vt:variant>
        <vt:i4>5</vt:i4>
      </vt:variant>
      <vt:variant>
        <vt:lpwstr/>
      </vt:variant>
      <vt:variant>
        <vt:lpwstr>_Toc414282358</vt:lpwstr>
      </vt:variant>
      <vt:variant>
        <vt:i4>1245243</vt:i4>
      </vt:variant>
      <vt:variant>
        <vt:i4>236</vt:i4>
      </vt:variant>
      <vt:variant>
        <vt:i4>0</vt:i4>
      </vt:variant>
      <vt:variant>
        <vt:i4>5</vt:i4>
      </vt:variant>
      <vt:variant>
        <vt:lpwstr/>
      </vt:variant>
      <vt:variant>
        <vt:lpwstr>_Toc414282357</vt:lpwstr>
      </vt:variant>
      <vt:variant>
        <vt:i4>1245243</vt:i4>
      </vt:variant>
      <vt:variant>
        <vt:i4>230</vt:i4>
      </vt:variant>
      <vt:variant>
        <vt:i4>0</vt:i4>
      </vt:variant>
      <vt:variant>
        <vt:i4>5</vt:i4>
      </vt:variant>
      <vt:variant>
        <vt:lpwstr/>
      </vt:variant>
      <vt:variant>
        <vt:lpwstr>_Toc414282356</vt:lpwstr>
      </vt:variant>
      <vt:variant>
        <vt:i4>1245243</vt:i4>
      </vt:variant>
      <vt:variant>
        <vt:i4>224</vt:i4>
      </vt:variant>
      <vt:variant>
        <vt:i4>0</vt:i4>
      </vt:variant>
      <vt:variant>
        <vt:i4>5</vt:i4>
      </vt:variant>
      <vt:variant>
        <vt:lpwstr/>
      </vt:variant>
      <vt:variant>
        <vt:lpwstr>_Toc414282355</vt:lpwstr>
      </vt:variant>
      <vt:variant>
        <vt:i4>1245243</vt:i4>
      </vt:variant>
      <vt:variant>
        <vt:i4>218</vt:i4>
      </vt:variant>
      <vt:variant>
        <vt:i4>0</vt:i4>
      </vt:variant>
      <vt:variant>
        <vt:i4>5</vt:i4>
      </vt:variant>
      <vt:variant>
        <vt:lpwstr/>
      </vt:variant>
      <vt:variant>
        <vt:lpwstr>_Toc414282354</vt:lpwstr>
      </vt:variant>
      <vt:variant>
        <vt:i4>1245243</vt:i4>
      </vt:variant>
      <vt:variant>
        <vt:i4>212</vt:i4>
      </vt:variant>
      <vt:variant>
        <vt:i4>0</vt:i4>
      </vt:variant>
      <vt:variant>
        <vt:i4>5</vt:i4>
      </vt:variant>
      <vt:variant>
        <vt:lpwstr/>
      </vt:variant>
      <vt:variant>
        <vt:lpwstr>_Toc414282353</vt:lpwstr>
      </vt:variant>
      <vt:variant>
        <vt:i4>1245243</vt:i4>
      </vt:variant>
      <vt:variant>
        <vt:i4>206</vt:i4>
      </vt:variant>
      <vt:variant>
        <vt:i4>0</vt:i4>
      </vt:variant>
      <vt:variant>
        <vt:i4>5</vt:i4>
      </vt:variant>
      <vt:variant>
        <vt:lpwstr/>
      </vt:variant>
      <vt:variant>
        <vt:lpwstr>_Toc414282352</vt:lpwstr>
      </vt:variant>
      <vt:variant>
        <vt:i4>1245243</vt:i4>
      </vt:variant>
      <vt:variant>
        <vt:i4>200</vt:i4>
      </vt:variant>
      <vt:variant>
        <vt:i4>0</vt:i4>
      </vt:variant>
      <vt:variant>
        <vt:i4>5</vt:i4>
      </vt:variant>
      <vt:variant>
        <vt:lpwstr/>
      </vt:variant>
      <vt:variant>
        <vt:lpwstr>_Toc414282351</vt:lpwstr>
      </vt:variant>
      <vt:variant>
        <vt:i4>1245243</vt:i4>
      </vt:variant>
      <vt:variant>
        <vt:i4>194</vt:i4>
      </vt:variant>
      <vt:variant>
        <vt:i4>0</vt:i4>
      </vt:variant>
      <vt:variant>
        <vt:i4>5</vt:i4>
      </vt:variant>
      <vt:variant>
        <vt:lpwstr/>
      </vt:variant>
      <vt:variant>
        <vt:lpwstr>_Toc414282350</vt:lpwstr>
      </vt:variant>
      <vt:variant>
        <vt:i4>1179707</vt:i4>
      </vt:variant>
      <vt:variant>
        <vt:i4>188</vt:i4>
      </vt:variant>
      <vt:variant>
        <vt:i4>0</vt:i4>
      </vt:variant>
      <vt:variant>
        <vt:i4>5</vt:i4>
      </vt:variant>
      <vt:variant>
        <vt:lpwstr/>
      </vt:variant>
      <vt:variant>
        <vt:lpwstr>_Toc414282349</vt:lpwstr>
      </vt:variant>
      <vt:variant>
        <vt:i4>1179707</vt:i4>
      </vt:variant>
      <vt:variant>
        <vt:i4>182</vt:i4>
      </vt:variant>
      <vt:variant>
        <vt:i4>0</vt:i4>
      </vt:variant>
      <vt:variant>
        <vt:i4>5</vt:i4>
      </vt:variant>
      <vt:variant>
        <vt:lpwstr/>
      </vt:variant>
      <vt:variant>
        <vt:lpwstr>_Toc414282348</vt:lpwstr>
      </vt:variant>
      <vt:variant>
        <vt:i4>1179707</vt:i4>
      </vt:variant>
      <vt:variant>
        <vt:i4>176</vt:i4>
      </vt:variant>
      <vt:variant>
        <vt:i4>0</vt:i4>
      </vt:variant>
      <vt:variant>
        <vt:i4>5</vt:i4>
      </vt:variant>
      <vt:variant>
        <vt:lpwstr/>
      </vt:variant>
      <vt:variant>
        <vt:lpwstr>_Toc414282347</vt:lpwstr>
      </vt:variant>
      <vt:variant>
        <vt:i4>1179707</vt:i4>
      </vt:variant>
      <vt:variant>
        <vt:i4>170</vt:i4>
      </vt:variant>
      <vt:variant>
        <vt:i4>0</vt:i4>
      </vt:variant>
      <vt:variant>
        <vt:i4>5</vt:i4>
      </vt:variant>
      <vt:variant>
        <vt:lpwstr/>
      </vt:variant>
      <vt:variant>
        <vt:lpwstr>_Toc414282346</vt:lpwstr>
      </vt:variant>
      <vt:variant>
        <vt:i4>1179707</vt:i4>
      </vt:variant>
      <vt:variant>
        <vt:i4>164</vt:i4>
      </vt:variant>
      <vt:variant>
        <vt:i4>0</vt:i4>
      </vt:variant>
      <vt:variant>
        <vt:i4>5</vt:i4>
      </vt:variant>
      <vt:variant>
        <vt:lpwstr/>
      </vt:variant>
      <vt:variant>
        <vt:lpwstr>_Toc414282345</vt:lpwstr>
      </vt:variant>
      <vt:variant>
        <vt:i4>1179707</vt:i4>
      </vt:variant>
      <vt:variant>
        <vt:i4>158</vt:i4>
      </vt:variant>
      <vt:variant>
        <vt:i4>0</vt:i4>
      </vt:variant>
      <vt:variant>
        <vt:i4>5</vt:i4>
      </vt:variant>
      <vt:variant>
        <vt:lpwstr/>
      </vt:variant>
      <vt:variant>
        <vt:lpwstr>_Toc414282344</vt:lpwstr>
      </vt:variant>
      <vt:variant>
        <vt:i4>1179707</vt:i4>
      </vt:variant>
      <vt:variant>
        <vt:i4>152</vt:i4>
      </vt:variant>
      <vt:variant>
        <vt:i4>0</vt:i4>
      </vt:variant>
      <vt:variant>
        <vt:i4>5</vt:i4>
      </vt:variant>
      <vt:variant>
        <vt:lpwstr/>
      </vt:variant>
      <vt:variant>
        <vt:lpwstr>_Toc414282343</vt:lpwstr>
      </vt:variant>
      <vt:variant>
        <vt:i4>1179707</vt:i4>
      </vt:variant>
      <vt:variant>
        <vt:i4>146</vt:i4>
      </vt:variant>
      <vt:variant>
        <vt:i4>0</vt:i4>
      </vt:variant>
      <vt:variant>
        <vt:i4>5</vt:i4>
      </vt:variant>
      <vt:variant>
        <vt:lpwstr/>
      </vt:variant>
      <vt:variant>
        <vt:lpwstr>_Toc414282342</vt:lpwstr>
      </vt:variant>
      <vt:variant>
        <vt:i4>1179707</vt:i4>
      </vt:variant>
      <vt:variant>
        <vt:i4>140</vt:i4>
      </vt:variant>
      <vt:variant>
        <vt:i4>0</vt:i4>
      </vt:variant>
      <vt:variant>
        <vt:i4>5</vt:i4>
      </vt:variant>
      <vt:variant>
        <vt:lpwstr/>
      </vt:variant>
      <vt:variant>
        <vt:lpwstr>_Toc414282341</vt:lpwstr>
      </vt:variant>
      <vt:variant>
        <vt:i4>1179707</vt:i4>
      </vt:variant>
      <vt:variant>
        <vt:i4>134</vt:i4>
      </vt:variant>
      <vt:variant>
        <vt:i4>0</vt:i4>
      </vt:variant>
      <vt:variant>
        <vt:i4>5</vt:i4>
      </vt:variant>
      <vt:variant>
        <vt:lpwstr/>
      </vt:variant>
      <vt:variant>
        <vt:lpwstr>_Toc414282340</vt:lpwstr>
      </vt:variant>
      <vt:variant>
        <vt:i4>1376315</vt:i4>
      </vt:variant>
      <vt:variant>
        <vt:i4>128</vt:i4>
      </vt:variant>
      <vt:variant>
        <vt:i4>0</vt:i4>
      </vt:variant>
      <vt:variant>
        <vt:i4>5</vt:i4>
      </vt:variant>
      <vt:variant>
        <vt:lpwstr/>
      </vt:variant>
      <vt:variant>
        <vt:lpwstr>_Toc414282339</vt:lpwstr>
      </vt:variant>
      <vt:variant>
        <vt:i4>1376315</vt:i4>
      </vt:variant>
      <vt:variant>
        <vt:i4>122</vt:i4>
      </vt:variant>
      <vt:variant>
        <vt:i4>0</vt:i4>
      </vt:variant>
      <vt:variant>
        <vt:i4>5</vt:i4>
      </vt:variant>
      <vt:variant>
        <vt:lpwstr/>
      </vt:variant>
      <vt:variant>
        <vt:lpwstr>_Toc414282338</vt:lpwstr>
      </vt:variant>
      <vt:variant>
        <vt:i4>1376315</vt:i4>
      </vt:variant>
      <vt:variant>
        <vt:i4>116</vt:i4>
      </vt:variant>
      <vt:variant>
        <vt:i4>0</vt:i4>
      </vt:variant>
      <vt:variant>
        <vt:i4>5</vt:i4>
      </vt:variant>
      <vt:variant>
        <vt:lpwstr/>
      </vt:variant>
      <vt:variant>
        <vt:lpwstr>_Toc414282337</vt:lpwstr>
      </vt:variant>
      <vt:variant>
        <vt:i4>1376315</vt:i4>
      </vt:variant>
      <vt:variant>
        <vt:i4>110</vt:i4>
      </vt:variant>
      <vt:variant>
        <vt:i4>0</vt:i4>
      </vt:variant>
      <vt:variant>
        <vt:i4>5</vt:i4>
      </vt:variant>
      <vt:variant>
        <vt:lpwstr/>
      </vt:variant>
      <vt:variant>
        <vt:lpwstr>_Toc414282336</vt:lpwstr>
      </vt:variant>
      <vt:variant>
        <vt:i4>1376315</vt:i4>
      </vt:variant>
      <vt:variant>
        <vt:i4>104</vt:i4>
      </vt:variant>
      <vt:variant>
        <vt:i4>0</vt:i4>
      </vt:variant>
      <vt:variant>
        <vt:i4>5</vt:i4>
      </vt:variant>
      <vt:variant>
        <vt:lpwstr/>
      </vt:variant>
      <vt:variant>
        <vt:lpwstr>_Toc414282335</vt:lpwstr>
      </vt:variant>
      <vt:variant>
        <vt:i4>1376315</vt:i4>
      </vt:variant>
      <vt:variant>
        <vt:i4>98</vt:i4>
      </vt:variant>
      <vt:variant>
        <vt:i4>0</vt:i4>
      </vt:variant>
      <vt:variant>
        <vt:i4>5</vt:i4>
      </vt:variant>
      <vt:variant>
        <vt:lpwstr/>
      </vt:variant>
      <vt:variant>
        <vt:lpwstr>_Toc414282334</vt:lpwstr>
      </vt:variant>
      <vt:variant>
        <vt:i4>1376315</vt:i4>
      </vt:variant>
      <vt:variant>
        <vt:i4>92</vt:i4>
      </vt:variant>
      <vt:variant>
        <vt:i4>0</vt:i4>
      </vt:variant>
      <vt:variant>
        <vt:i4>5</vt:i4>
      </vt:variant>
      <vt:variant>
        <vt:lpwstr/>
      </vt:variant>
      <vt:variant>
        <vt:lpwstr>_Toc414282333</vt:lpwstr>
      </vt:variant>
      <vt:variant>
        <vt:i4>1376315</vt:i4>
      </vt:variant>
      <vt:variant>
        <vt:i4>86</vt:i4>
      </vt:variant>
      <vt:variant>
        <vt:i4>0</vt:i4>
      </vt:variant>
      <vt:variant>
        <vt:i4>5</vt:i4>
      </vt:variant>
      <vt:variant>
        <vt:lpwstr/>
      </vt:variant>
      <vt:variant>
        <vt:lpwstr>_Toc414282332</vt:lpwstr>
      </vt:variant>
      <vt:variant>
        <vt:i4>1376315</vt:i4>
      </vt:variant>
      <vt:variant>
        <vt:i4>80</vt:i4>
      </vt:variant>
      <vt:variant>
        <vt:i4>0</vt:i4>
      </vt:variant>
      <vt:variant>
        <vt:i4>5</vt:i4>
      </vt:variant>
      <vt:variant>
        <vt:lpwstr/>
      </vt:variant>
      <vt:variant>
        <vt:lpwstr>_Toc414282330</vt:lpwstr>
      </vt:variant>
      <vt:variant>
        <vt:i4>1310779</vt:i4>
      </vt:variant>
      <vt:variant>
        <vt:i4>74</vt:i4>
      </vt:variant>
      <vt:variant>
        <vt:i4>0</vt:i4>
      </vt:variant>
      <vt:variant>
        <vt:i4>5</vt:i4>
      </vt:variant>
      <vt:variant>
        <vt:lpwstr/>
      </vt:variant>
      <vt:variant>
        <vt:lpwstr>_Toc414282329</vt:lpwstr>
      </vt:variant>
      <vt:variant>
        <vt:i4>1310779</vt:i4>
      </vt:variant>
      <vt:variant>
        <vt:i4>68</vt:i4>
      </vt:variant>
      <vt:variant>
        <vt:i4>0</vt:i4>
      </vt:variant>
      <vt:variant>
        <vt:i4>5</vt:i4>
      </vt:variant>
      <vt:variant>
        <vt:lpwstr/>
      </vt:variant>
      <vt:variant>
        <vt:lpwstr>_Toc414282328</vt:lpwstr>
      </vt:variant>
      <vt:variant>
        <vt:i4>1310779</vt:i4>
      </vt:variant>
      <vt:variant>
        <vt:i4>62</vt:i4>
      </vt:variant>
      <vt:variant>
        <vt:i4>0</vt:i4>
      </vt:variant>
      <vt:variant>
        <vt:i4>5</vt:i4>
      </vt:variant>
      <vt:variant>
        <vt:lpwstr/>
      </vt:variant>
      <vt:variant>
        <vt:lpwstr>_Toc414282327</vt:lpwstr>
      </vt:variant>
      <vt:variant>
        <vt:i4>1310779</vt:i4>
      </vt:variant>
      <vt:variant>
        <vt:i4>56</vt:i4>
      </vt:variant>
      <vt:variant>
        <vt:i4>0</vt:i4>
      </vt:variant>
      <vt:variant>
        <vt:i4>5</vt:i4>
      </vt:variant>
      <vt:variant>
        <vt:lpwstr/>
      </vt:variant>
      <vt:variant>
        <vt:lpwstr>_Toc414282326</vt:lpwstr>
      </vt:variant>
      <vt:variant>
        <vt:i4>1310779</vt:i4>
      </vt:variant>
      <vt:variant>
        <vt:i4>50</vt:i4>
      </vt:variant>
      <vt:variant>
        <vt:i4>0</vt:i4>
      </vt:variant>
      <vt:variant>
        <vt:i4>5</vt:i4>
      </vt:variant>
      <vt:variant>
        <vt:lpwstr/>
      </vt:variant>
      <vt:variant>
        <vt:lpwstr>_Toc414282325</vt:lpwstr>
      </vt:variant>
      <vt:variant>
        <vt:i4>1310779</vt:i4>
      </vt:variant>
      <vt:variant>
        <vt:i4>44</vt:i4>
      </vt:variant>
      <vt:variant>
        <vt:i4>0</vt:i4>
      </vt:variant>
      <vt:variant>
        <vt:i4>5</vt:i4>
      </vt:variant>
      <vt:variant>
        <vt:lpwstr/>
      </vt:variant>
      <vt:variant>
        <vt:lpwstr>_Toc414282324</vt:lpwstr>
      </vt:variant>
      <vt:variant>
        <vt:i4>1310779</vt:i4>
      </vt:variant>
      <vt:variant>
        <vt:i4>38</vt:i4>
      </vt:variant>
      <vt:variant>
        <vt:i4>0</vt:i4>
      </vt:variant>
      <vt:variant>
        <vt:i4>5</vt:i4>
      </vt:variant>
      <vt:variant>
        <vt:lpwstr/>
      </vt:variant>
      <vt:variant>
        <vt:lpwstr>_Toc414282323</vt:lpwstr>
      </vt:variant>
      <vt:variant>
        <vt:i4>1310779</vt:i4>
      </vt:variant>
      <vt:variant>
        <vt:i4>32</vt:i4>
      </vt:variant>
      <vt:variant>
        <vt:i4>0</vt:i4>
      </vt:variant>
      <vt:variant>
        <vt:i4>5</vt:i4>
      </vt:variant>
      <vt:variant>
        <vt:lpwstr/>
      </vt:variant>
      <vt:variant>
        <vt:lpwstr>_Toc414282322</vt:lpwstr>
      </vt:variant>
      <vt:variant>
        <vt:i4>1310779</vt:i4>
      </vt:variant>
      <vt:variant>
        <vt:i4>26</vt:i4>
      </vt:variant>
      <vt:variant>
        <vt:i4>0</vt:i4>
      </vt:variant>
      <vt:variant>
        <vt:i4>5</vt:i4>
      </vt:variant>
      <vt:variant>
        <vt:lpwstr/>
      </vt:variant>
      <vt:variant>
        <vt:lpwstr>_Toc414282321</vt:lpwstr>
      </vt:variant>
      <vt:variant>
        <vt:i4>1310779</vt:i4>
      </vt:variant>
      <vt:variant>
        <vt:i4>20</vt:i4>
      </vt:variant>
      <vt:variant>
        <vt:i4>0</vt:i4>
      </vt:variant>
      <vt:variant>
        <vt:i4>5</vt:i4>
      </vt:variant>
      <vt:variant>
        <vt:lpwstr/>
      </vt:variant>
      <vt:variant>
        <vt:lpwstr>_Toc414282320</vt:lpwstr>
      </vt:variant>
      <vt:variant>
        <vt:i4>1507387</vt:i4>
      </vt:variant>
      <vt:variant>
        <vt:i4>14</vt:i4>
      </vt:variant>
      <vt:variant>
        <vt:i4>0</vt:i4>
      </vt:variant>
      <vt:variant>
        <vt:i4>5</vt:i4>
      </vt:variant>
      <vt:variant>
        <vt:lpwstr/>
      </vt:variant>
      <vt:variant>
        <vt:lpwstr>_Toc414282319</vt:lpwstr>
      </vt:variant>
      <vt:variant>
        <vt:i4>1507387</vt:i4>
      </vt:variant>
      <vt:variant>
        <vt:i4>8</vt:i4>
      </vt:variant>
      <vt:variant>
        <vt:i4>0</vt:i4>
      </vt:variant>
      <vt:variant>
        <vt:i4>5</vt:i4>
      </vt:variant>
      <vt:variant>
        <vt:lpwstr/>
      </vt:variant>
      <vt:variant>
        <vt:lpwstr>_Toc414282318</vt:lpwstr>
      </vt:variant>
      <vt:variant>
        <vt:i4>1507387</vt:i4>
      </vt:variant>
      <vt:variant>
        <vt:i4>2</vt:i4>
      </vt:variant>
      <vt:variant>
        <vt:i4>0</vt:i4>
      </vt:variant>
      <vt:variant>
        <vt:i4>5</vt:i4>
      </vt:variant>
      <vt:variant>
        <vt:lpwstr/>
      </vt:variant>
      <vt:variant>
        <vt:lpwstr>_Toc414282317</vt:lpwstr>
      </vt:variant>
      <vt:variant>
        <vt:i4>6815784</vt:i4>
      </vt:variant>
      <vt:variant>
        <vt:i4>6</vt:i4>
      </vt:variant>
      <vt:variant>
        <vt:i4>0</vt:i4>
      </vt:variant>
      <vt:variant>
        <vt:i4>5</vt:i4>
      </vt:variant>
      <vt:variant>
        <vt:lpwstr>http://www.imf.org/external/np/res/commod/index.asp</vt:lpwstr>
      </vt:variant>
      <vt:variant>
        <vt:lpwstr/>
      </vt:variant>
      <vt:variant>
        <vt:i4>6815784</vt:i4>
      </vt:variant>
      <vt:variant>
        <vt:i4>3</vt:i4>
      </vt:variant>
      <vt:variant>
        <vt:i4>0</vt:i4>
      </vt:variant>
      <vt:variant>
        <vt:i4>5</vt:i4>
      </vt:variant>
      <vt:variant>
        <vt:lpwstr>http://www.imf.org/external/np/res/commod/index.asp</vt:lpwstr>
      </vt:variant>
      <vt:variant>
        <vt:lpwstr/>
      </vt:variant>
      <vt:variant>
        <vt:i4>1572939</vt:i4>
      </vt:variant>
      <vt:variant>
        <vt:i4>0</vt:i4>
      </vt:variant>
      <vt:variant>
        <vt:i4>0</vt:i4>
      </vt:variant>
      <vt:variant>
        <vt:i4>5</vt:i4>
      </vt:variant>
      <vt:variant>
        <vt:lpwstr>http://rbth.ru/business/2013/02/05/gazprom_expects_price_drop_for_europe_in_2013_22533.html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jelena.prtilo@reers.ba</dc:creator>
  <cp:lastModifiedBy>Zdenka Novcic</cp:lastModifiedBy>
  <cp:revision>9</cp:revision>
  <cp:lastPrinted>2025-10-02T10:47:00Z</cp:lastPrinted>
  <dcterms:created xsi:type="dcterms:W3CDTF">2025-10-02T09:50:00Z</dcterms:created>
  <dcterms:modified xsi:type="dcterms:W3CDTF">2025-10-03T07:13:00Z</dcterms:modified>
</cp:coreProperties>
</file>